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FDC54" w14:textId="3E21D422" w:rsidR="006358BA" w:rsidRDefault="006F1C9E" w:rsidP="00D3489B">
      <w:pPr>
        <w:pStyle w:val="CRCoverPage"/>
        <w:tabs>
          <w:tab w:val="right" w:pos="9639"/>
        </w:tabs>
        <w:spacing w:after="0"/>
        <w:jc w:val="both"/>
        <w:rPr>
          <w:b/>
          <w:i/>
          <w:noProof/>
          <w:sz w:val="28"/>
          <w:lang w:eastAsia="zh-CN"/>
        </w:rPr>
      </w:pPr>
      <w:bookmarkStart w:id="0" w:name="_Ref399006623"/>
      <w:bookmarkStart w:id="1" w:name="_Toc92513360"/>
      <w:r w:rsidRPr="006F1C9E">
        <w:rPr>
          <w:rFonts w:cs="Arial"/>
          <w:b/>
          <w:sz w:val="24"/>
          <w:szCs w:val="24"/>
        </w:rPr>
        <w:t xml:space="preserve">3GPP TSG-RAN WG4 Meeting </w:t>
      </w:r>
      <w:r w:rsidR="00611578">
        <w:rPr>
          <w:rFonts w:cs="Arial"/>
          <w:b/>
          <w:sz w:val="24"/>
          <w:szCs w:val="24"/>
        </w:rPr>
        <w:t>#</w:t>
      </w:r>
      <w:r w:rsidRPr="006F1C9E">
        <w:rPr>
          <w:rFonts w:cs="Arial"/>
          <w:b/>
          <w:sz w:val="24"/>
          <w:szCs w:val="24"/>
        </w:rPr>
        <w:t>9</w:t>
      </w:r>
      <w:r w:rsidR="00611578">
        <w:rPr>
          <w:rFonts w:cs="Arial"/>
          <w:b/>
          <w:sz w:val="24"/>
          <w:szCs w:val="24"/>
        </w:rPr>
        <w:t>4-e</w:t>
      </w:r>
      <w:r w:rsidR="006358BA">
        <w:rPr>
          <w:b/>
          <w:i/>
          <w:noProof/>
          <w:sz w:val="28"/>
        </w:rPr>
        <w:tab/>
      </w:r>
      <w:r w:rsidR="00267E9F" w:rsidRPr="00267E9F">
        <w:rPr>
          <w:rFonts w:cs="Arial"/>
          <w:b/>
          <w:sz w:val="24"/>
          <w:szCs w:val="24"/>
        </w:rPr>
        <w:t>R4-</w:t>
      </w:r>
      <w:r w:rsidR="00611578">
        <w:rPr>
          <w:rFonts w:cs="Arial"/>
          <w:b/>
          <w:sz w:val="24"/>
          <w:szCs w:val="24"/>
        </w:rPr>
        <w:t>200</w:t>
      </w:r>
      <w:r w:rsidR="006A7C9F">
        <w:rPr>
          <w:rFonts w:cs="Arial"/>
          <w:b/>
          <w:sz w:val="24"/>
          <w:szCs w:val="24"/>
        </w:rPr>
        <w:t>2144</w:t>
      </w:r>
    </w:p>
    <w:p w14:paraId="31DCE6A5" w14:textId="2CF9CFBE" w:rsidR="00D415E5" w:rsidRDefault="00611578" w:rsidP="00D415E5">
      <w:pPr>
        <w:pStyle w:val="CRCoverPage"/>
        <w:spacing w:after="0"/>
        <w:outlineLvl w:val="0"/>
        <w:rPr>
          <w:b/>
          <w:noProof/>
          <w:sz w:val="24"/>
        </w:rPr>
      </w:pPr>
      <w:r>
        <w:rPr>
          <w:b/>
          <w:bCs/>
          <w:noProof/>
          <w:sz w:val="22"/>
          <w:lang w:eastAsia="zh-CN"/>
        </w:rPr>
        <w:t>Online</w:t>
      </w:r>
      <w:r w:rsidR="00BB40EC" w:rsidRPr="00BB40EC">
        <w:rPr>
          <w:b/>
          <w:bCs/>
          <w:noProof/>
          <w:sz w:val="22"/>
          <w:lang w:eastAsia="zh-CN"/>
        </w:rPr>
        <w:t xml:space="preserve">, </w:t>
      </w:r>
      <w:r>
        <w:rPr>
          <w:b/>
          <w:bCs/>
          <w:noProof/>
          <w:sz w:val="22"/>
          <w:lang w:eastAsia="zh-CN"/>
        </w:rPr>
        <w:t>24</w:t>
      </w:r>
      <w:r w:rsidR="00BB40EC" w:rsidRPr="00BB40EC">
        <w:rPr>
          <w:b/>
          <w:bCs/>
          <w:noProof/>
          <w:sz w:val="22"/>
          <w:lang w:eastAsia="zh-CN"/>
        </w:rPr>
        <w:t xml:space="preserve">th </w:t>
      </w:r>
      <w:r>
        <w:rPr>
          <w:b/>
          <w:bCs/>
          <w:noProof/>
          <w:sz w:val="22"/>
          <w:lang w:eastAsia="zh-CN"/>
        </w:rPr>
        <w:t xml:space="preserve">February </w:t>
      </w:r>
      <w:r w:rsidR="00BB40EC" w:rsidRPr="00BB40EC">
        <w:rPr>
          <w:b/>
          <w:bCs/>
          <w:noProof/>
          <w:sz w:val="22"/>
          <w:lang w:eastAsia="zh-CN"/>
        </w:rPr>
        <w:t xml:space="preserve">– </w:t>
      </w:r>
      <w:r>
        <w:rPr>
          <w:b/>
          <w:bCs/>
          <w:noProof/>
          <w:sz w:val="22"/>
          <w:lang w:eastAsia="zh-CN"/>
        </w:rPr>
        <w:t>6th</w:t>
      </w:r>
      <w:r w:rsidR="00BB40EC" w:rsidRPr="00BB40EC">
        <w:rPr>
          <w:b/>
          <w:bCs/>
          <w:noProof/>
          <w:sz w:val="22"/>
          <w:lang w:eastAsia="zh-CN"/>
        </w:rPr>
        <w:t xml:space="preserve"> </w:t>
      </w:r>
      <w:r>
        <w:rPr>
          <w:b/>
          <w:bCs/>
          <w:noProof/>
          <w:sz w:val="22"/>
          <w:lang w:eastAsia="zh-CN"/>
        </w:rPr>
        <w:t>March</w:t>
      </w:r>
      <w:r w:rsidR="00BB40EC" w:rsidRPr="00BB40EC">
        <w:rPr>
          <w:b/>
          <w:bCs/>
          <w:noProof/>
          <w:sz w:val="22"/>
          <w:lang w:eastAsia="zh-CN"/>
        </w:rPr>
        <w:t>, 20</w:t>
      </w:r>
      <w:r>
        <w:rPr>
          <w:b/>
          <w:bCs/>
          <w:noProof/>
          <w:sz w:val="22"/>
          <w:lang w:eastAsia="zh-CN"/>
        </w:rPr>
        <w:t>20</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1F296594"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A53267" w:rsidRPr="00A53267">
        <w:rPr>
          <w:rFonts w:cs="Arial"/>
          <w:sz w:val="22"/>
        </w:rPr>
        <w:t>FR2 ACLR Measurement Bandwidth Definition</w:t>
      </w:r>
    </w:p>
    <w:p w14:paraId="4CF426CC" w14:textId="199E2BCD" w:rsidR="00FB2ACC" w:rsidRDefault="00675C27" w:rsidP="00E00326">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A53267" w:rsidRPr="00A53267">
        <w:rPr>
          <w:rFonts w:ascii="Arial" w:hAnsi="Arial" w:cs="Arial"/>
          <w:sz w:val="22"/>
        </w:rPr>
        <w:t>6.3.3 Other system parameters maintenance [</w:t>
      </w:r>
      <w:proofErr w:type="spellStart"/>
      <w:r w:rsidR="00A53267" w:rsidRPr="00A53267">
        <w:rPr>
          <w:rFonts w:ascii="Arial" w:hAnsi="Arial" w:cs="Arial"/>
          <w:sz w:val="22"/>
        </w:rPr>
        <w:t>NR_newRAT</w:t>
      </w:r>
      <w:proofErr w:type="spellEnd"/>
      <w:r w:rsidR="00A53267" w:rsidRPr="00A53267">
        <w:rPr>
          <w:rFonts w:ascii="Arial" w:hAnsi="Arial" w:cs="Arial"/>
          <w:sz w:val="22"/>
        </w:rPr>
        <w:t>-Core]</w:t>
      </w:r>
    </w:p>
    <w:p w14:paraId="2E5C6AEA" w14:textId="067AC55C" w:rsidR="00675C27" w:rsidRPr="00A62DA7" w:rsidRDefault="00675C27" w:rsidP="00E00326">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70691">
        <w:rPr>
          <w:rFonts w:ascii="Arial" w:eastAsia="SimSun" w:hAnsi="Arial" w:cs="Arial"/>
          <w:sz w:val="22"/>
          <w:lang w:eastAsia="zh-CN"/>
        </w:rPr>
        <w:t>Discussion</w:t>
      </w:r>
      <w:bookmarkStart w:id="2" w:name="_GoBack"/>
      <w:bookmarkEnd w:id="2"/>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7353E2E2" w:rsidR="00577141" w:rsidRDefault="00A53267" w:rsidP="00577141">
      <w:pPr>
        <w:overflowPunct/>
        <w:autoSpaceDE/>
        <w:autoSpaceDN/>
        <w:adjustRightInd/>
        <w:spacing w:after="0"/>
        <w:jc w:val="both"/>
        <w:textAlignment w:val="auto"/>
        <w:rPr>
          <w:rFonts w:eastAsia="SimSun"/>
          <w:lang w:eastAsia="zh-CN"/>
        </w:rPr>
      </w:pPr>
      <w:r>
        <w:rPr>
          <w:rFonts w:eastAsia="SimSun"/>
          <w:lang w:eastAsia="zh-CN"/>
        </w:rPr>
        <w:t xml:space="preserve">This </w:t>
      </w:r>
      <w:r w:rsidR="000D0AB2">
        <w:rPr>
          <w:rFonts w:eastAsia="SimSun"/>
          <w:lang w:eastAsia="zh-CN"/>
        </w:rPr>
        <w:t xml:space="preserve">contribution </w:t>
      </w:r>
      <w:r>
        <w:rPr>
          <w:rFonts w:eastAsia="SimSun"/>
          <w:lang w:eastAsia="zh-CN"/>
        </w:rPr>
        <w:t>highlights the differences between FR1 and FR2 ACLR Measurement Bandwid</w:t>
      </w:r>
      <w:r w:rsidR="00E0195E">
        <w:rPr>
          <w:rFonts w:eastAsia="SimSun"/>
          <w:lang w:eastAsia="zh-CN"/>
        </w:rPr>
        <w:t>th definitions with regards to Sub-Carrier (SC</w:t>
      </w:r>
      <w:r>
        <w:rPr>
          <w:rFonts w:eastAsia="SimSun"/>
          <w:lang w:eastAsia="zh-CN"/>
        </w:rPr>
        <w:t>) alignment. We discuss two options as to ensure consistency between FR1 and FR2.</w:t>
      </w:r>
    </w:p>
    <w:p w14:paraId="34099A5E" w14:textId="62F32C94" w:rsidR="00FC6372" w:rsidRDefault="00853ECB" w:rsidP="00FC6372">
      <w:pPr>
        <w:pStyle w:val="Heading1"/>
        <w:jc w:val="both"/>
        <w:rPr>
          <w:rFonts w:eastAsia="SimSun"/>
          <w:lang w:eastAsia="zh-CN"/>
        </w:rPr>
      </w:pPr>
      <w:r>
        <w:rPr>
          <w:rFonts w:eastAsia="SimSun" w:hint="eastAsia"/>
          <w:lang w:eastAsia="zh-CN"/>
        </w:rPr>
        <w:t>Discussion</w:t>
      </w:r>
    </w:p>
    <w:p w14:paraId="4270550F" w14:textId="6CA8F835" w:rsidR="00B1186A" w:rsidRDefault="00354B6C" w:rsidP="00B1186A">
      <w:pPr>
        <w:pStyle w:val="Heading2"/>
        <w:spacing w:after="240"/>
        <w:rPr>
          <w:rFonts w:eastAsia="SimSun"/>
          <w:lang w:eastAsia="zh-CN"/>
        </w:rPr>
      </w:pPr>
      <w:r>
        <w:rPr>
          <w:lang w:eastAsia="zh-CN"/>
        </w:rPr>
        <w:t>FR1 ACLR Measurement Bandwidth</w:t>
      </w:r>
    </w:p>
    <w:p w14:paraId="0B7280A1" w14:textId="4A89E2C3" w:rsidR="00354B6C" w:rsidRDefault="00FF3206" w:rsidP="000D0AB2">
      <w:pPr>
        <w:rPr>
          <w:rFonts w:eastAsia="SimSun"/>
          <w:lang w:val="en-GB" w:eastAsia="zh-CN"/>
        </w:rPr>
      </w:pPr>
      <w:r>
        <w:rPr>
          <w:rFonts w:eastAsia="SimSun"/>
          <w:lang w:val="en-GB" w:eastAsia="zh-CN"/>
        </w:rPr>
        <w:fldChar w:fldCharType="begin"/>
      </w:r>
      <w:r>
        <w:rPr>
          <w:rFonts w:eastAsia="SimSun"/>
          <w:lang w:val="en-GB" w:eastAsia="zh-CN"/>
        </w:rPr>
        <w:instrText xml:space="preserve"> REF _Ref32575907 \h </w:instrText>
      </w:r>
      <w:r>
        <w:rPr>
          <w:rFonts w:eastAsia="SimSun"/>
          <w:lang w:val="en-GB" w:eastAsia="zh-CN"/>
        </w:rPr>
      </w:r>
      <w:r>
        <w:rPr>
          <w:rFonts w:eastAsia="SimSun"/>
          <w:lang w:val="en-GB" w:eastAsia="zh-CN"/>
        </w:rPr>
        <w:fldChar w:fldCharType="separate"/>
      </w:r>
      <w:r>
        <w:t xml:space="preserve">Figure </w:t>
      </w:r>
      <w:r>
        <w:rPr>
          <w:noProof/>
        </w:rPr>
        <w:t>1</w:t>
      </w:r>
      <w:r>
        <w:rPr>
          <w:rFonts w:eastAsia="SimSun"/>
          <w:lang w:val="en-GB" w:eastAsia="zh-CN"/>
        </w:rPr>
        <w:fldChar w:fldCharType="end"/>
      </w:r>
      <w:r>
        <w:rPr>
          <w:rFonts w:eastAsia="SimSun"/>
          <w:lang w:val="en-GB" w:eastAsia="zh-CN"/>
        </w:rPr>
        <w:t xml:space="preserve"> reproduced from [1] formed </w:t>
      </w:r>
      <w:r w:rsidR="00502CCC">
        <w:rPr>
          <w:rFonts w:eastAsia="SimSun"/>
          <w:lang w:val="en-GB" w:eastAsia="zh-CN"/>
        </w:rPr>
        <w:t>of the original proposal to</w:t>
      </w:r>
      <w:r>
        <w:rPr>
          <w:rFonts w:eastAsia="SimSun"/>
          <w:lang w:val="en-GB" w:eastAsia="zh-CN"/>
        </w:rPr>
        <w:t xml:space="preserve"> add</w:t>
      </w:r>
      <w:r w:rsidR="00502CCC">
        <w:rPr>
          <w:rFonts w:eastAsia="SimSun"/>
          <w:lang w:val="en-GB" w:eastAsia="zh-CN"/>
        </w:rPr>
        <w:t xml:space="preserve"> </w:t>
      </w:r>
      <w:r>
        <w:rPr>
          <w:rFonts w:eastAsia="SimSun"/>
          <w:lang w:val="en-GB" w:eastAsia="zh-CN"/>
        </w:rPr>
        <w:t>1 Sub-Carrier (SC)</w:t>
      </w:r>
      <w:r w:rsidR="00502CCC">
        <w:rPr>
          <w:rFonts w:eastAsia="SimSun"/>
          <w:lang w:val="en-GB" w:eastAsia="zh-CN"/>
        </w:rPr>
        <w:t xml:space="preserve"> so as to ensure that the measurement bandwidth (MBW) is made symmetrical.</w:t>
      </w:r>
    </w:p>
    <w:p w14:paraId="3DC2DA7E" w14:textId="68F226E0" w:rsidR="00354B6C" w:rsidRDefault="00354B6C" w:rsidP="000D0AB2">
      <w:pPr>
        <w:rPr>
          <w:rFonts w:eastAsia="SimSun"/>
          <w:lang w:val="en-GB" w:eastAsia="zh-CN"/>
        </w:rPr>
      </w:pPr>
      <w:r>
        <w:rPr>
          <w:noProof/>
        </w:rPr>
        <w:drawing>
          <wp:inline distT="0" distB="0" distL="0" distR="0" wp14:anchorId="23755622" wp14:editId="3FDBA913">
            <wp:extent cx="5715000" cy="14033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5000" cy="1403350"/>
                    </a:xfrm>
                    <a:prstGeom prst="rect">
                      <a:avLst/>
                    </a:prstGeom>
                    <a:noFill/>
                    <a:ln>
                      <a:noFill/>
                    </a:ln>
                  </pic:spPr>
                </pic:pic>
              </a:graphicData>
            </a:graphic>
          </wp:inline>
        </w:drawing>
      </w:r>
    </w:p>
    <w:p w14:paraId="57EE7F4C" w14:textId="671734FF" w:rsidR="00354B6C" w:rsidRDefault="00354B6C" w:rsidP="00354B6C">
      <w:pPr>
        <w:pStyle w:val="Caption"/>
        <w:rPr>
          <w:rFonts w:eastAsia="SimSun"/>
          <w:lang w:val="en-GB" w:eastAsia="zh-CN"/>
        </w:rPr>
      </w:pPr>
      <w:bookmarkStart w:id="3" w:name="_Ref32575907"/>
      <w:r>
        <w:t xml:space="preserve">Figure </w:t>
      </w:r>
      <w:fldSimple w:instr=" SEQ Figure \* ARABIC ">
        <w:r w:rsidR="002033E2">
          <w:rPr>
            <w:noProof/>
          </w:rPr>
          <w:t>1</w:t>
        </w:r>
      </w:fldSimple>
      <w:bookmarkEnd w:id="3"/>
      <w:r>
        <w:t>: Addition of one Sub-Carrier to make measurement bandwidth symmetrical in FR1</w:t>
      </w:r>
    </w:p>
    <w:p w14:paraId="59C3DBFB" w14:textId="7DFD18EC" w:rsidR="00B1186A" w:rsidRDefault="00B1186A" w:rsidP="000D0AB2">
      <w:pPr>
        <w:rPr>
          <w:rFonts w:eastAsia="SimSun"/>
          <w:lang w:val="en-GB" w:eastAsia="zh-CN"/>
        </w:rPr>
      </w:pPr>
      <w:r>
        <w:rPr>
          <w:rFonts w:eastAsia="SimSun"/>
          <w:lang w:val="en-GB" w:eastAsia="zh-CN"/>
        </w:rPr>
        <w:fldChar w:fldCharType="begin"/>
      </w:r>
      <w:r>
        <w:rPr>
          <w:rFonts w:eastAsia="SimSun"/>
          <w:lang w:val="en-GB" w:eastAsia="zh-CN"/>
        </w:rPr>
        <w:instrText xml:space="preserve"> REF _Ref32562949 \h </w:instrText>
      </w:r>
      <w:r>
        <w:rPr>
          <w:rFonts w:eastAsia="SimSun"/>
          <w:lang w:val="en-GB" w:eastAsia="zh-CN"/>
        </w:rPr>
      </w:r>
      <w:r>
        <w:rPr>
          <w:rFonts w:eastAsia="SimSun"/>
          <w:lang w:val="en-GB" w:eastAsia="zh-CN"/>
        </w:rPr>
        <w:fldChar w:fldCharType="separate"/>
      </w:r>
      <w:r>
        <w:t xml:space="preserve">Table </w:t>
      </w:r>
      <w:r>
        <w:rPr>
          <w:noProof/>
        </w:rPr>
        <w:t>1</w:t>
      </w:r>
      <w:r>
        <w:rPr>
          <w:rFonts w:eastAsia="SimSun"/>
          <w:lang w:val="en-GB" w:eastAsia="zh-CN"/>
        </w:rPr>
        <w:fldChar w:fldCharType="end"/>
      </w:r>
      <w:r>
        <w:rPr>
          <w:rFonts w:eastAsia="SimSun"/>
          <w:lang w:val="en-GB" w:eastAsia="zh-CN"/>
        </w:rPr>
        <w:t xml:space="preserve"> reproduces</w:t>
      </w:r>
      <w:r w:rsidR="00502CCC">
        <w:rPr>
          <w:rFonts w:eastAsia="SimSun"/>
          <w:lang w:val="en-GB" w:eastAsia="zh-CN"/>
        </w:rPr>
        <w:t xml:space="preserve"> the relationship between the maximum Transmission Band</w:t>
      </w:r>
      <w:r w:rsidR="0057008B">
        <w:rPr>
          <w:rFonts w:eastAsia="SimSun"/>
          <w:lang w:val="en-GB" w:eastAsia="zh-CN"/>
        </w:rPr>
        <w:t>w</w:t>
      </w:r>
      <w:r w:rsidR="00502CCC">
        <w:rPr>
          <w:rFonts w:eastAsia="SimSun"/>
          <w:lang w:val="en-GB" w:eastAsia="zh-CN"/>
        </w:rPr>
        <w:t>idth (</w:t>
      </w:r>
      <w:proofErr w:type="spellStart"/>
      <w:r w:rsidR="00502CCC">
        <w:rPr>
          <w:rFonts w:eastAsia="SimSun"/>
          <w:lang w:val="en-GB" w:eastAsia="zh-CN"/>
        </w:rPr>
        <w:t>maxTXBW</w:t>
      </w:r>
      <w:proofErr w:type="spellEnd"/>
      <w:r w:rsidR="00502CCC">
        <w:rPr>
          <w:rFonts w:eastAsia="SimSun"/>
          <w:lang w:val="en-GB" w:eastAsia="zh-CN"/>
        </w:rPr>
        <w:t>) configuration and the MBW. The values h</w:t>
      </w:r>
      <w:r w:rsidR="002033E2">
        <w:rPr>
          <w:rFonts w:eastAsia="SimSun"/>
          <w:lang w:val="en-GB" w:eastAsia="zh-CN"/>
        </w:rPr>
        <w:t>ighlighted in yellow were approved</w:t>
      </w:r>
      <w:r w:rsidR="00502CCC">
        <w:rPr>
          <w:rFonts w:eastAsia="SimSun"/>
          <w:lang w:val="en-GB" w:eastAsia="zh-CN"/>
        </w:rPr>
        <w:t xml:space="preserve"> in WF [2].</w:t>
      </w:r>
    </w:p>
    <w:p w14:paraId="1DE10F28" w14:textId="592599F2" w:rsidR="00B1186A" w:rsidRDefault="00B1186A" w:rsidP="00B1186A">
      <w:pPr>
        <w:pStyle w:val="Caption"/>
        <w:jc w:val="center"/>
      </w:pPr>
      <w:bookmarkStart w:id="4" w:name="_Ref32562949"/>
      <w:r>
        <w:t xml:space="preserve">Table </w:t>
      </w:r>
      <w:fldSimple w:instr=" SEQ Table \* ARABIC ">
        <w:r w:rsidR="002033E2">
          <w:rPr>
            <w:noProof/>
          </w:rPr>
          <w:t>1</w:t>
        </w:r>
      </w:fldSimple>
      <w:bookmarkEnd w:id="4"/>
      <w:r>
        <w:t xml:space="preserve">: </w:t>
      </w:r>
      <w:r w:rsidR="00502CCC">
        <w:t>ACLR and wanted signal MBW</w:t>
      </w:r>
      <w:r>
        <w:t xml:space="preserve"> </w:t>
      </w:r>
      <w:r w:rsidR="0013113D">
        <w:t xml:space="preserve">for FR1 </w:t>
      </w:r>
      <w:r>
        <w:t>[1]</w:t>
      </w:r>
    </w:p>
    <w:tbl>
      <w:tblPr>
        <w:tblW w:w="9105" w:type="dxa"/>
        <w:jc w:val="center"/>
        <w:tblLayout w:type="fixed"/>
        <w:tblLook w:val="04A0" w:firstRow="1" w:lastRow="0" w:firstColumn="1" w:lastColumn="0" w:noHBand="0" w:noVBand="1"/>
      </w:tblPr>
      <w:tblGrid>
        <w:gridCol w:w="1342"/>
        <w:gridCol w:w="734"/>
        <w:gridCol w:w="636"/>
        <w:gridCol w:w="723"/>
        <w:gridCol w:w="678"/>
        <w:gridCol w:w="762"/>
        <w:gridCol w:w="900"/>
        <w:gridCol w:w="720"/>
        <w:gridCol w:w="720"/>
        <w:gridCol w:w="630"/>
        <w:gridCol w:w="630"/>
        <w:gridCol w:w="630"/>
      </w:tblGrid>
      <w:tr w:rsidR="00502CCC" w:rsidRPr="00BD157A" w14:paraId="5FF925D5" w14:textId="77777777" w:rsidTr="00BD541E">
        <w:trPr>
          <w:trHeight w:val="240"/>
          <w:jc w:val="center"/>
        </w:trPr>
        <w:tc>
          <w:tcPr>
            <w:tcW w:w="13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C94905" w14:textId="77777777" w:rsidR="00502CCC" w:rsidRPr="00BD157A" w:rsidRDefault="00502CCC" w:rsidP="00BD541E">
            <w:pPr>
              <w:overflowPunct/>
              <w:autoSpaceDE/>
              <w:autoSpaceDN/>
              <w:adjustRightInd/>
              <w:spacing w:after="0"/>
              <w:jc w:val="center"/>
              <w:textAlignment w:val="auto"/>
              <w:rPr>
                <w:rFonts w:ascii="Calibri" w:hAnsi="Calibri"/>
                <w:b/>
                <w:bCs/>
                <w:color w:val="000000"/>
                <w:sz w:val="16"/>
                <w:szCs w:val="16"/>
              </w:rPr>
            </w:pPr>
            <w:r w:rsidRPr="00BD157A">
              <w:rPr>
                <w:rFonts w:ascii="Calibri" w:hAnsi="Calibri"/>
                <w:b/>
                <w:bCs/>
                <w:color w:val="000000"/>
                <w:sz w:val="16"/>
                <w:szCs w:val="16"/>
              </w:rPr>
              <w:t>Sub-6GHz</w:t>
            </w:r>
          </w:p>
        </w:tc>
        <w:tc>
          <w:tcPr>
            <w:tcW w:w="734"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76032851"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SCS [kHz]</w:t>
            </w:r>
          </w:p>
        </w:tc>
        <w:tc>
          <w:tcPr>
            <w:tcW w:w="636" w:type="dxa"/>
            <w:tcBorders>
              <w:top w:val="single" w:sz="4" w:space="0" w:color="auto"/>
              <w:left w:val="nil"/>
              <w:bottom w:val="single" w:sz="4" w:space="0" w:color="auto"/>
              <w:right w:val="single" w:sz="4" w:space="0" w:color="auto"/>
            </w:tcBorders>
            <w:shd w:val="clear" w:color="auto" w:fill="auto"/>
            <w:vAlign w:val="center"/>
            <w:hideMark/>
          </w:tcPr>
          <w:p w14:paraId="722EB404"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5MHz</w:t>
            </w:r>
          </w:p>
        </w:tc>
        <w:tc>
          <w:tcPr>
            <w:tcW w:w="723" w:type="dxa"/>
            <w:tcBorders>
              <w:top w:val="single" w:sz="4" w:space="0" w:color="auto"/>
              <w:left w:val="nil"/>
              <w:bottom w:val="single" w:sz="4" w:space="0" w:color="auto"/>
              <w:right w:val="single" w:sz="4" w:space="0" w:color="auto"/>
            </w:tcBorders>
            <w:shd w:val="clear" w:color="auto" w:fill="auto"/>
            <w:vAlign w:val="center"/>
            <w:hideMark/>
          </w:tcPr>
          <w:p w14:paraId="04BD02C1"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10MHz</w:t>
            </w:r>
          </w:p>
        </w:tc>
        <w:tc>
          <w:tcPr>
            <w:tcW w:w="678" w:type="dxa"/>
            <w:tcBorders>
              <w:top w:val="single" w:sz="4" w:space="0" w:color="auto"/>
              <w:left w:val="nil"/>
              <w:bottom w:val="single" w:sz="4" w:space="0" w:color="auto"/>
              <w:right w:val="single" w:sz="4" w:space="0" w:color="auto"/>
            </w:tcBorders>
            <w:shd w:val="clear" w:color="auto" w:fill="auto"/>
            <w:vAlign w:val="center"/>
            <w:hideMark/>
          </w:tcPr>
          <w:p w14:paraId="621F5EFB"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15MHz</w:t>
            </w:r>
          </w:p>
        </w:tc>
        <w:tc>
          <w:tcPr>
            <w:tcW w:w="762" w:type="dxa"/>
            <w:tcBorders>
              <w:top w:val="single" w:sz="4" w:space="0" w:color="auto"/>
              <w:left w:val="nil"/>
              <w:bottom w:val="single" w:sz="4" w:space="0" w:color="auto"/>
              <w:right w:val="single" w:sz="4" w:space="0" w:color="auto"/>
            </w:tcBorders>
            <w:shd w:val="clear" w:color="auto" w:fill="auto"/>
            <w:vAlign w:val="center"/>
            <w:hideMark/>
          </w:tcPr>
          <w:p w14:paraId="688BBE37"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20MHz</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540D278F"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25MHz</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17B38227"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40MHz</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5C94C68B"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50MHz</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52919B0F"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60 MHz</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36F6831D"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80 MHz</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2A10C242"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100 MHz</w:t>
            </w:r>
          </w:p>
        </w:tc>
      </w:tr>
      <w:tr w:rsidR="00502CCC" w:rsidRPr="00BD157A" w14:paraId="2066493A" w14:textId="77777777" w:rsidTr="00BD541E">
        <w:trPr>
          <w:trHeight w:val="49"/>
          <w:jc w:val="center"/>
        </w:trPr>
        <w:tc>
          <w:tcPr>
            <w:tcW w:w="1342" w:type="dxa"/>
            <w:vMerge w:val="restart"/>
            <w:tcBorders>
              <w:top w:val="nil"/>
              <w:left w:val="single" w:sz="4" w:space="0" w:color="auto"/>
              <w:bottom w:val="single" w:sz="4" w:space="0" w:color="auto"/>
              <w:right w:val="single" w:sz="4" w:space="0" w:color="auto"/>
            </w:tcBorders>
            <w:shd w:val="clear" w:color="auto" w:fill="auto"/>
            <w:vAlign w:val="center"/>
            <w:hideMark/>
          </w:tcPr>
          <w:p w14:paraId="6A4DFE6A" w14:textId="77777777" w:rsidR="00502CCC" w:rsidRPr="00BD157A" w:rsidRDefault="00502CCC" w:rsidP="00BD541E">
            <w:pPr>
              <w:overflowPunct/>
              <w:autoSpaceDE/>
              <w:autoSpaceDN/>
              <w:adjustRightInd/>
              <w:spacing w:after="0"/>
              <w:textAlignment w:val="auto"/>
              <w:rPr>
                <w:rFonts w:ascii="Calibri" w:hAnsi="Calibri"/>
                <w:color w:val="000000"/>
                <w:sz w:val="16"/>
                <w:szCs w:val="16"/>
              </w:rPr>
            </w:pPr>
            <w:r w:rsidRPr="00BD157A">
              <w:rPr>
                <w:rFonts w:ascii="Calibri" w:hAnsi="Calibri"/>
                <w:color w:val="000000"/>
                <w:sz w:val="16"/>
                <w:szCs w:val="16"/>
              </w:rPr>
              <w:t>TXBW</w:t>
            </w:r>
            <w:r w:rsidRPr="00BD157A">
              <w:rPr>
                <w:rFonts w:ascii="Calibri" w:hAnsi="Calibri"/>
                <w:color w:val="000000"/>
                <w:sz w:val="16"/>
                <w:szCs w:val="16"/>
              </w:rPr>
              <w:br/>
              <w:t>[MHz]</w:t>
            </w:r>
          </w:p>
        </w:tc>
        <w:tc>
          <w:tcPr>
            <w:tcW w:w="734" w:type="dxa"/>
            <w:tcBorders>
              <w:top w:val="nil"/>
              <w:left w:val="nil"/>
              <w:bottom w:val="single" w:sz="4" w:space="0" w:color="auto"/>
              <w:right w:val="single" w:sz="4" w:space="0" w:color="auto"/>
            </w:tcBorders>
            <w:shd w:val="clear" w:color="auto" w:fill="auto"/>
            <w:vAlign w:val="center"/>
            <w:hideMark/>
          </w:tcPr>
          <w:p w14:paraId="4D261AA0"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15</w:t>
            </w:r>
          </w:p>
        </w:tc>
        <w:tc>
          <w:tcPr>
            <w:tcW w:w="636" w:type="dxa"/>
            <w:tcBorders>
              <w:top w:val="nil"/>
              <w:left w:val="nil"/>
              <w:bottom w:val="single" w:sz="4" w:space="0" w:color="auto"/>
              <w:right w:val="single" w:sz="4" w:space="0" w:color="auto"/>
            </w:tcBorders>
            <w:shd w:val="clear" w:color="auto" w:fill="auto"/>
            <w:noWrap/>
            <w:vAlign w:val="center"/>
            <w:hideMark/>
          </w:tcPr>
          <w:p w14:paraId="49D8381A"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4.5</w:t>
            </w:r>
          </w:p>
        </w:tc>
        <w:tc>
          <w:tcPr>
            <w:tcW w:w="723" w:type="dxa"/>
            <w:tcBorders>
              <w:top w:val="nil"/>
              <w:left w:val="nil"/>
              <w:bottom w:val="single" w:sz="4" w:space="0" w:color="auto"/>
              <w:right w:val="single" w:sz="4" w:space="0" w:color="auto"/>
            </w:tcBorders>
            <w:shd w:val="clear" w:color="auto" w:fill="auto"/>
            <w:noWrap/>
            <w:vAlign w:val="center"/>
            <w:hideMark/>
          </w:tcPr>
          <w:p w14:paraId="06ED1E55"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9.36</w:t>
            </w:r>
          </w:p>
        </w:tc>
        <w:tc>
          <w:tcPr>
            <w:tcW w:w="678" w:type="dxa"/>
            <w:tcBorders>
              <w:top w:val="nil"/>
              <w:left w:val="nil"/>
              <w:bottom w:val="single" w:sz="4" w:space="0" w:color="auto"/>
              <w:right w:val="single" w:sz="4" w:space="0" w:color="auto"/>
            </w:tcBorders>
            <w:shd w:val="clear" w:color="auto" w:fill="auto"/>
            <w:noWrap/>
            <w:vAlign w:val="center"/>
            <w:hideMark/>
          </w:tcPr>
          <w:p w14:paraId="51B15109"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14.22</w:t>
            </w:r>
          </w:p>
        </w:tc>
        <w:tc>
          <w:tcPr>
            <w:tcW w:w="762" w:type="dxa"/>
            <w:tcBorders>
              <w:top w:val="nil"/>
              <w:left w:val="nil"/>
              <w:bottom w:val="single" w:sz="4" w:space="0" w:color="auto"/>
              <w:right w:val="single" w:sz="4" w:space="0" w:color="auto"/>
            </w:tcBorders>
            <w:shd w:val="clear" w:color="auto" w:fill="auto"/>
            <w:noWrap/>
            <w:vAlign w:val="center"/>
            <w:hideMark/>
          </w:tcPr>
          <w:p w14:paraId="1A7E9BEA"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19.08</w:t>
            </w:r>
          </w:p>
        </w:tc>
        <w:tc>
          <w:tcPr>
            <w:tcW w:w="900" w:type="dxa"/>
            <w:tcBorders>
              <w:top w:val="nil"/>
              <w:left w:val="nil"/>
              <w:bottom w:val="single" w:sz="4" w:space="0" w:color="auto"/>
              <w:right w:val="single" w:sz="4" w:space="0" w:color="auto"/>
            </w:tcBorders>
            <w:shd w:val="clear" w:color="auto" w:fill="auto"/>
            <w:noWrap/>
            <w:vAlign w:val="center"/>
            <w:hideMark/>
          </w:tcPr>
          <w:p w14:paraId="06302B17"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24.3</w:t>
            </w:r>
          </w:p>
        </w:tc>
        <w:tc>
          <w:tcPr>
            <w:tcW w:w="720" w:type="dxa"/>
            <w:tcBorders>
              <w:top w:val="nil"/>
              <w:left w:val="nil"/>
              <w:bottom w:val="single" w:sz="4" w:space="0" w:color="auto"/>
              <w:right w:val="single" w:sz="4" w:space="0" w:color="auto"/>
            </w:tcBorders>
            <w:shd w:val="clear" w:color="auto" w:fill="auto"/>
            <w:noWrap/>
            <w:vAlign w:val="center"/>
            <w:hideMark/>
          </w:tcPr>
          <w:p w14:paraId="00F1C4FC"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38.88</w:t>
            </w:r>
          </w:p>
        </w:tc>
        <w:tc>
          <w:tcPr>
            <w:tcW w:w="720" w:type="dxa"/>
            <w:tcBorders>
              <w:top w:val="nil"/>
              <w:left w:val="nil"/>
              <w:bottom w:val="single" w:sz="4" w:space="0" w:color="auto"/>
              <w:right w:val="single" w:sz="4" w:space="0" w:color="auto"/>
            </w:tcBorders>
            <w:shd w:val="clear" w:color="auto" w:fill="auto"/>
            <w:noWrap/>
            <w:vAlign w:val="center"/>
            <w:hideMark/>
          </w:tcPr>
          <w:p w14:paraId="561EB0CB"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48.6</w:t>
            </w:r>
          </w:p>
        </w:tc>
        <w:tc>
          <w:tcPr>
            <w:tcW w:w="630" w:type="dxa"/>
            <w:tcBorders>
              <w:top w:val="nil"/>
              <w:left w:val="nil"/>
              <w:bottom w:val="single" w:sz="4" w:space="0" w:color="auto"/>
              <w:right w:val="single" w:sz="4" w:space="0" w:color="auto"/>
            </w:tcBorders>
            <w:shd w:val="clear" w:color="auto" w:fill="auto"/>
            <w:vAlign w:val="center"/>
            <w:hideMark/>
          </w:tcPr>
          <w:p w14:paraId="72712CE4"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N.A</w:t>
            </w:r>
          </w:p>
        </w:tc>
        <w:tc>
          <w:tcPr>
            <w:tcW w:w="630" w:type="dxa"/>
            <w:tcBorders>
              <w:top w:val="nil"/>
              <w:left w:val="nil"/>
              <w:bottom w:val="single" w:sz="4" w:space="0" w:color="auto"/>
              <w:right w:val="single" w:sz="4" w:space="0" w:color="auto"/>
            </w:tcBorders>
            <w:shd w:val="clear" w:color="auto" w:fill="auto"/>
            <w:vAlign w:val="center"/>
            <w:hideMark/>
          </w:tcPr>
          <w:p w14:paraId="7AD427A0"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N.A</w:t>
            </w:r>
          </w:p>
        </w:tc>
        <w:tc>
          <w:tcPr>
            <w:tcW w:w="630" w:type="dxa"/>
            <w:tcBorders>
              <w:top w:val="nil"/>
              <w:left w:val="nil"/>
              <w:bottom w:val="single" w:sz="4" w:space="0" w:color="auto"/>
              <w:right w:val="single" w:sz="4" w:space="0" w:color="auto"/>
            </w:tcBorders>
            <w:shd w:val="clear" w:color="auto" w:fill="auto"/>
            <w:vAlign w:val="center"/>
            <w:hideMark/>
          </w:tcPr>
          <w:p w14:paraId="38012E9F"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N.A</w:t>
            </w:r>
          </w:p>
        </w:tc>
      </w:tr>
      <w:tr w:rsidR="00502CCC" w:rsidRPr="00BD157A" w14:paraId="31BDD05C" w14:textId="77777777" w:rsidTr="00BD541E">
        <w:trPr>
          <w:trHeight w:val="49"/>
          <w:jc w:val="center"/>
        </w:trPr>
        <w:tc>
          <w:tcPr>
            <w:tcW w:w="1342" w:type="dxa"/>
            <w:vMerge/>
            <w:tcBorders>
              <w:top w:val="nil"/>
              <w:left w:val="single" w:sz="4" w:space="0" w:color="auto"/>
              <w:bottom w:val="single" w:sz="4" w:space="0" w:color="auto"/>
              <w:right w:val="single" w:sz="4" w:space="0" w:color="auto"/>
            </w:tcBorders>
            <w:vAlign w:val="center"/>
            <w:hideMark/>
          </w:tcPr>
          <w:p w14:paraId="0F140A25" w14:textId="77777777" w:rsidR="00502CCC" w:rsidRPr="00BD157A" w:rsidRDefault="00502CCC" w:rsidP="00BD541E">
            <w:pPr>
              <w:overflowPunct/>
              <w:autoSpaceDE/>
              <w:autoSpaceDN/>
              <w:adjustRightInd/>
              <w:spacing w:after="0"/>
              <w:textAlignment w:val="auto"/>
              <w:rPr>
                <w:rFonts w:ascii="Calibri" w:hAnsi="Calibri"/>
                <w:color w:val="000000"/>
                <w:sz w:val="16"/>
                <w:szCs w:val="16"/>
              </w:rPr>
            </w:pPr>
          </w:p>
        </w:tc>
        <w:tc>
          <w:tcPr>
            <w:tcW w:w="734" w:type="dxa"/>
            <w:tcBorders>
              <w:top w:val="nil"/>
              <w:left w:val="nil"/>
              <w:bottom w:val="single" w:sz="4" w:space="0" w:color="auto"/>
              <w:right w:val="single" w:sz="4" w:space="0" w:color="auto"/>
            </w:tcBorders>
            <w:shd w:val="clear" w:color="auto" w:fill="auto"/>
            <w:vAlign w:val="center"/>
            <w:hideMark/>
          </w:tcPr>
          <w:p w14:paraId="0ED5D947"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30</w:t>
            </w:r>
          </w:p>
        </w:tc>
        <w:tc>
          <w:tcPr>
            <w:tcW w:w="636" w:type="dxa"/>
            <w:tcBorders>
              <w:top w:val="nil"/>
              <w:left w:val="nil"/>
              <w:bottom w:val="single" w:sz="4" w:space="0" w:color="auto"/>
              <w:right w:val="single" w:sz="4" w:space="0" w:color="auto"/>
            </w:tcBorders>
            <w:shd w:val="clear" w:color="auto" w:fill="auto"/>
            <w:noWrap/>
            <w:vAlign w:val="center"/>
            <w:hideMark/>
          </w:tcPr>
          <w:p w14:paraId="3CFD363C"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3.96</w:t>
            </w:r>
          </w:p>
        </w:tc>
        <w:tc>
          <w:tcPr>
            <w:tcW w:w="723" w:type="dxa"/>
            <w:tcBorders>
              <w:top w:val="nil"/>
              <w:left w:val="nil"/>
              <w:bottom w:val="single" w:sz="4" w:space="0" w:color="auto"/>
              <w:right w:val="single" w:sz="4" w:space="0" w:color="auto"/>
            </w:tcBorders>
            <w:shd w:val="clear" w:color="auto" w:fill="auto"/>
            <w:noWrap/>
            <w:vAlign w:val="center"/>
            <w:hideMark/>
          </w:tcPr>
          <w:p w14:paraId="59167389"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8.64</w:t>
            </w:r>
          </w:p>
        </w:tc>
        <w:tc>
          <w:tcPr>
            <w:tcW w:w="678" w:type="dxa"/>
            <w:tcBorders>
              <w:top w:val="nil"/>
              <w:left w:val="nil"/>
              <w:bottom w:val="single" w:sz="4" w:space="0" w:color="auto"/>
              <w:right w:val="single" w:sz="4" w:space="0" w:color="auto"/>
            </w:tcBorders>
            <w:shd w:val="clear" w:color="auto" w:fill="auto"/>
            <w:noWrap/>
            <w:vAlign w:val="center"/>
            <w:hideMark/>
          </w:tcPr>
          <w:p w14:paraId="4D5B4382"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13.68</w:t>
            </w:r>
          </w:p>
        </w:tc>
        <w:tc>
          <w:tcPr>
            <w:tcW w:w="762" w:type="dxa"/>
            <w:tcBorders>
              <w:top w:val="nil"/>
              <w:left w:val="nil"/>
              <w:bottom w:val="single" w:sz="4" w:space="0" w:color="auto"/>
              <w:right w:val="single" w:sz="4" w:space="0" w:color="auto"/>
            </w:tcBorders>
            <w:shd w:val="clear" w:color="auto" w:fill="auto"/>
            <w:noWrap/>
            <w:vAlign w:val="center"/>
            <w:hideMark/>
          </w:tcPr>
          <w:p w14:paraId="4139ABEA"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18.72</w:t>
            </w:r>
          </w:p>
        </w:tc>
        <w:tc>
          <w:tcPr>
            <w:tcW w:w="900" w:type="dxa"/>
            <w:tcBorders>
              <w:top w:val="nil"/>
              <w:left w:val="nil"/>
              <w:bottom w:val="single" w:sz="4" w:space="0" w:color="auto"/>
              <w:right w:val="single" w:sz="4" w:space="0" w:color="auto"/>
            </w:tcBorders>
            <w:shd w:val="clear" w:color="auto" w:fill="auto"/>
            <w:noWrap/>
            <w:vAlign w:val="center"/>
            <w:hideMark/>
          </w:tcPr>
          <w:p w14:paraId="5C851A1B"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23.4</w:t>
            </w:r>
          </w:p>
        </w:tc>
        <w:tc>
          <w:tcPr>
            <w:tcW w:w="720" w:type="dxa"/>
            <w:tcBorders>
              <w:top w:val="nil"/>
              <w:left w:val="nil"/>
              <w:bottom w:val="single" w:sz="4" w:space="0" w:color="auto"/>
              <w:right w:val="single" w:sz="4" w:space="0" w:color="auto"/>
            </w:tcBorders>
            <w:shd w:val="clear" w:color="auto" w:fill="auto"/>
            <w:noWrap/>
            <w:vAlign w:val="center"/>
            <w:hideMark/>
          </w:tcPr>
          <w:p w14:paraId="79475F70"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38.16</w:t>
            </w:r>
          </w:p>
        </w:tc>
        <w:tc>
          <w:tcPr>
            <w:tcW w:w="720" w:type="dxa"/>
            <w:tcBorders>
              <w:top w:val="nil"/>
              <w:left w:val="nil"/>
              <w:bottom w:val="single" w:sz="4" w:space="0" w:color="auto"/>
              <w:right w:val="single" w:sz="4" w:space="0" w:color="auto"/>
            </w:tcBorders>
            <w:shd w:val="clear" w:color="auto" w:fill="auto"/>
            <w:noWrap/>
            <w:vAlign w:val="center"/>
            <w:hideMark/>
          </w:tcPr>
          <w:p w14:paraId="42253F87"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47.88</w:t>
            </w:r>
          </w:p>
        </w:tc>
        <w:tc>
          <w:tcPr>
            <w:tcW w:w="630" w:type="dxa"/>
            <w:tcBorders>
              <w:top w:val="nil"/>
              <w:left w:val="nil"/>
              <w:bottom w:val="single" w:sz="4" w:space="0" w:color="auto"/>
              <w:right w:val="single" w:sz="4" w:space="0" w:color="auto"/>
            </w:tcBorders>
            <w:shd w:val="clear" w:color="auto" w:fill="auto"/>
            <w:noWrap/>
            <w:vAlign w:val="center"/>
            <w:hideMark/>
          </w:tcPr>
          <w:p w14:paraId="2A02F0FE"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58.32</w:t>
            </w:r>
          </w:p>
        </w:tc>
        <w:tc>
          <w:tcPr>
            <w:tcW w:w="630" w:type="dxa"/>
            <w:tcBorders>
              <w:top w:val="nil"/>
              <w:left w:val="nil"/>
              <w:bottom w:val="single" w:sz="4" w:space="0" w:color="auto"/>
              <w:right w:val="single" w:sz="4" w:space="0" w:color="auto"/>
            </w:tcBorders>
            <w:shd w:val="clear" w:color="auto" w:fill="auto"/>
            <w:noWrap/>
            <w:vAlign w:val="center"/>
            <w:hideMark/>
          </w:tcPr>
          <w:p w14:paraId="4DE3F6AC"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78.12</w:t>
            </w:r>
          </w:p>
        </w:tc>
        <w:tc>
          <w:tcPr>
            <w:tcW w:w="630" w:type="dxa"/>
            <w:tcBorders>
              <w:top w:val="nil"/>
              <w:left w:val="nil"/>
              <w:bottom w:val="single" w:sz="4" w:space="0" w:color="auto"/>
              <w:right w:val="single" w:sz="4" w:space="0" w:color="auto"/>
            </w:tcBorders>
            <w:shd w:val="clear" w:color="auto" w:fill="auto"/>
            <w:noWrap/>
            <w:vAlign w:val="center"/>
            <w:hideMark/>
          </w:tcPr>
          <w:p w14:paraId="3D7AF961"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98.28</w:t>
            </w:r>
          </w:p>
        </w:tc>
      </w:tr>
      <w:tr w:rsidR="00502CCC" w:rsidRPr="00BD157A" w14:paraId="41D72208" w14:textId="77777777" w:rsidTr="00BD541E">
        <w:trPr>
          <w:trHeight w:val="49"/>
          <w:jc w:val="center"/>
        </w:trPr>
        <w:tc>
          <w:tcPr>
            <w:tcW w:w="1342" w:type="dxa"/>
            <w:vMerge/>
            <w:tcBorders>
              <w:top w:val="nil"/>
              <w:left w:val="single" w:sz="4" w:space="0" w:color="auto"/>
              <w:bottom w:val="single" w:sz="4" w:space="0" w:color="auto"/>
              <w:right w:val="single" w:sz="4" w:space="0" w:color="auto"/>
            </w:tcBorders>
            <w:vAlign w:val="center"/>
            <w:hideMark/>
          </w:tcPr>
          <w:p w14:paraId="59EF3642" w14:textId="77777777" w:rsidR="00502CCC" w:rsidRPr="00BD157A" w:rsidRDefault="00502CCC" w:rsidP="00BD541E">
            <w:pPr>
              <w:overflowPunct/>
              <w:autoSpaceDE/>
              <w:autoSpaceDN/>
              <w:adjustRightInd/>
              <w:spacing w:after="0"/>
              <w:textAlignment w:val="auto"/>
              <w:rPr>
                <w:rFonts w:ascii="Calibri" w:hAnsi="Calibri"/>
                <w:color w:val="000000"/>
                <w:sz w:val="16"/>
                <w:szCs w:val="16"/>
              </w:rPr>
            </w:pPr>
          </w:p>
        </w:tc>
        <w:tc>
          <w:tcPr>
            <w:tcW w:w="734" w:type="dxa"/>
            <w:tcBorders>
              <w:top w:val="nil"/>
              <w:left w:val="nil"/>
              <w:bottom w:val="single" w:sz="4" w:space="0" w:color="auto"/>
              <w:right w:val="single" w:sz="4" w:space="0" w:color="auto"/>
            </w:tcBorders>
            <w:shd w:val="clear" w:color="auto" w:fill="auto"/>
            <w:vAlign w:val="center"/>
            <w:hideMark/>
          </w:tcPr>
          <w:p w14:paraId="49015DD7"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60</w:t>
            </w:r>
          </w:p>
        </w:tc>
        <w:tc>
          <w:tcPr>
            <w:tcW w:w="636" w:type="dxa"/>
            <w:tcBorders>
              <w:top w:val="nil"/>
              <w:left w:val="nil"/>
              <w:bottom w:val="single" w:sz="4" w:space="0" w:color="auto"/>
              <w:right w:val="single" w:sz="4" w:space="0" w:color="auto"/>
            </w:tcBorders>
            <w:shd w:val="clear" w:color="auto" w:fill="auto"/>
            <w:vAlign w:val="center"/>
            <w:hideMark/>
          </w:tcPr>
          <w:p w14:paraId="5479CF1B"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N.A</w:t>
            </w:r>
          </w:p>
        </w:tc>
        <w:tc>
          <w:tcPr>
            <w:tcW w:w="723" w:type="dxa"/>
            <w:tcBorders>
              <w:top w:val="nil"/>
              <w:left w:val="nil"/>
              <w:bottom w:val="single" w:sz="4" w:space="0" w:color="auto"/>
              <w:right w:val="single" w:sz="4" w:space="0" w:color="auto"/>
            </w:tcBorders>
            <w:shd w:val="clear" w:color="auto" w:fill="auto"/>
            <w:noWrap/>
            <w:vAlign w:val="center"/>
            <w:hideMark/>
          </w:tcPr>
          <w:p w14:paraId="600B1C05"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8.64</w:t>
            </w:r>
          </w:p>
        </w:tc>
        <w:tc>
          <w:tcPr>
            <w:tcW w:w="678" w:type="dxa"/>
            <w:tcBorders>
              <w:top w:val="nil"/>
              <w:left w:val="nil"/>
              <w:bottom w:val="single" w:sz="4" w:space="0" w:color="auto"/>
              <w:right w:val="single" w:sz="4" w:space="0" w:color="auto"/>
            </w:tcBorders>
            <w:shd w:val="clear" w:color="auto" w:fill="auto"/>
            <w:noWrap/>
            <w:vAlign w:val="center"/>
            <w:hideMark/>
          </w:tcPr>
          <w:p w14:paraId="253EC429"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12.96</w:t>
            </w:r>
          </w:p>
        </w:tc>
        <w:tc>
          <w:tcPr>
            <w:tcW w:w="762" w:type="dxa"/>
            <w:tcBorders>
              <w:top w:val="nil"/>
              <w:left w:val="nil"/>
              <w:bottom w:val="single" w:sz="4" w:space="0" w:color="auto"/>
              <w:right w:val="single" w:sz="4" w:space="0" w:color="auto"/>
            </w:tcBorders>
            <w:shd w:val="clear" w:color="auto" w:fill="auto"/>
            <w:noWrap/>
            <w:vAlign w:val="center"/>
            <w:hideMark/>
          </w:tcPr>
          <w:p w14:paraId="73F81249"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17.28</w:t>
            </w:r>
          </w:p>
        </w:tc>
        <w:tc>
          <w:tcPr>
            <w:tcW w:w="900" w:type="dxa"/>
            <w:tcBorders>
              <w:top w:val="nil"/>
              <w:left w:val="nil"/>
              <w:bottom w:val="single" w:sz="4" w:space="0" w:color="auto"/>
              <w:right w:val="single" w:sz="4" w:space="0" w:color="auto"/>
            </w:tcBorders>
            <w:shd w:val="clear" w:color="auto" w:fill="auto"/>
            <w:noWrap/>
            <w:vAlign w:val="center"/>
            <w:hideMark/>
          </w:tcPr>
          <w:p w14:paraId="0EE27FF8"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23.04</w:t>
            </w:r>
          </w:p>
        </w:tc>
        <w:tc>
          <w:tcPr>
            <w:tcW w:w="720" w:type="dxa"/>
            <w:tcBorders>
              <w:top w:val="nil"/>
              <w:left w:val="nil"/>
              <w:bottom w:val="single" w:sz="4" w:space="0" w:color="auto"/>
              <w:right w:val="single" w:sz="4" w:space="0" w:color="auto"/>
            </w:tcBorders>
            <w:shd w:val="clear" w:color="auto" w:fill="auto"/>
            <w:noWrap/>
            <w:vAlign w:val="center"/>
            <w:hideMark/>
          </w:tcPr>
          <w:p w14:paraId="225413E7"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37.44</w:t>
            </w:r>
          </w:p>
        </w:tc>
        <w:tc>
          <w:tcPr>
            <w:tcW w:w="720" w:type="dxa"/>
            <w:tcBorders>
              <w:top w:val="nil"/>
              <w:left w:val="nil"/>
              <w:bottom w:val="single" w:sz="4" w:space="0" w:color="auto"/>
              <w:right w:val="single" w:sz="4" w:space="0" w:color="auto"/>
            </w:tcBorders>
            <w:shd w:val="clear" w:color="auto" w:fill="auto"/>
            <w:noWrap/>
            <w:vAlign w:val="center"/>
            <w:hideMark/>
          </w:tcPr>
          <w:p w14:paraId="0E8C5159"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46.8</w:t>
            </w:r>
          </w:p>
        </w:tc>
        <w:tc>
          <w:tcPr>
            <w:tcW w:w="630" w:type="dxa"/>
            <w:tcBorders>
              <w:top w:val="nil"/>
              <w:left w:val="nil"/>
              <w:bottom w:val="single" w:sz="4" w:space="0" w:color="auto"/>
              <w:right w:val="single" w:sz="4" w:space="0" w:color="auto"/>
            </w:tcBorders>
            <w:shd w:val="clear" w:color="auto" w:fill="auto"/>
            <w:noWrap/>
            <w:vAlign w:val="center"/>
            <w:hideMark/>
          </w:tcPr>
          <w:p w14:paraId="3819814C"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56.88</w:t>
            </w:r>
          </w:p>
        </w:tc>
        <w:tc>
          <w:tcPr>
            <w:tcW w:w="630" w:type="dxa"/>
            <w:tcBorders>
              <w:top w:val="nil"/>
              <w:left w:val="nil"/>
              <w:bottom w:val="single" w:sz="4" w:space="0" w:color="auto"/>
              <w:right w:val="single" w:sz="4" w:space="0" w:color="auto"/>
            </w:tcBorders>
            <w:shd w:val="clear" w:color="auto" w:fill="auto"/>
            <w:noWrap/>
            <w:vAlign w:val="center"/>
            <w:hideMark/>
          </w:tcPr>
          <w:p w14:paraId="458222C4"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77.04</w:t>
            </w:r>
          </w:p>
        </w:tc>
        <w:tc>
          <w:tcPr>
            <w:tcW w:w="630" w:type="dxa"/>
            <w:tcBorders>
              <w:top w:val="nil"/>
              <w:left w:val="nil"/>
              <w:bottom w:val="single" w:sz="4" w:space="0" w:color="auto"/>
              <w:right w:val="single" w:sz="4" w:space="0" w:color="auto"/>
            </w:tcBorders>
            <w:shd w:val="clear" w:color="auto" w:fill="auto"/>
            <w:noWrap/>
            <w:vAlign w:val="center"/>
            <w:hideMark/>
          </w:tcPr>
          <w:p w14:paraId="2C7C9118"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97.2</w:t>
            </w:r>
          </w:p>
        </w:tc>
      </w:tr>
      <w:tr w:rsidR="00502CCC" w:rsidRPr="00BD157A" w14:paraId="07D3A81C" w14:textId="77777777" w:rsidTr="00BD541E">
        <w:trPr>
          <w:trHeight w:val="49"/>
          <w:jc w:val="center"/>
        </w:trPr>
        <w:tc>
          <w:tcPr>
            <w:tcW w:w="1342" w:type="dxa"/>
            <w:vMerge w:val="restart"/>
            <w:tcBorders>
              <w:top w:val="nil"/>
              <w:left w:val="single" w:sz="4" w:space="0" w:color="auto"/>
              <w:bottom w:val="single" w:sz="4" w:space="0" w:color="auto"/>
              <w:right w:val="single" w:sz="4" w:space="0" w:color="auto"/>
            </w:tcBorders>
            <w:shd w:val="clear" w:color="auto" w:fill="auto"/>
            <w:vAlign w:val="center"/>
            <w:hideMark/>
          </w:tcPr>
          <w:p w14:paraId="75415E5A" w14:textId="3818D97D" w:rsidR="00502CCC" w:rsidRPr="00BD157A" w:rsidRDefault="00502CCC" w:rsidP="00BD541E">
            <w:pPr>
              <w:overflowPunct/>
              <w:autoSpaceDE/>
              <w:autoSpaceDN/>
              <w:adjustRightInd/>
              <w:spacing w:after="0"/>
              <w:textAlignment w:val="auto"/>
              <w:rPr>
                <w:rFonts w:ascii="Calibri" w:hAnsi="Calibri"/>
                <w:color w:val="000000"/>
                <w:sz w:val="16"/>
                <w:szCs w:val="16"/>
              </w:rPr>
            </w:pPr>
            <w:r>
              <w:rPr>
                <w:rFonts w:ascii="Calibri" w:hAnsi="Calibri"/>
                <w:color w:val="000000"/>
                <w:sz w:val="16"/>
                <w:szCs w:val="16"/>
              </w:rPr>
              <w:t>MBW</w:t>
            </w:r>
            <w:r w:rsidRPr="00BD157A">
              <w:rPr>
                <w:rFonts w:ascii="Calibri" w:hAnsi="Calibri"/>
                <w:color w:val="000000"/>
                <w:sz w:val="16"/>
                <w:szCs w:val="16"/>
              </w:rPr>
              <w:br/>
              <w:t>[MHz]</w:t>
            </w:r>
          </w:p>
        </w:tc>
        <w:tc>
          <w:tcPr>
            <w:tcW w:w="734" w:type="dxa"/>
            <w:tcBorders>
              <w:top w:val="nil"/>
              <w:left w:val="nil"/>
              <w:bottom w:val="single" w:sz="4" w:space="0" w:color="auto"/>
              <w:right w:val="single" w:sz="4" w:space="0" w:color="auto"/>
            </w:tcBorders>
            <w:shd w:val="clear" w:color="auto" w:fill="auto"/>
            <w:vAlign w:val="center"/>
            <w:hideMark/>
          </w:tcPr>
          <w:p w14:paraId="67CD8D8A" w14:textId="77777777" w:rsidR="00502CCC" w:rsidRPr="006D1C3A" w:rsidRDefault="00502CCC" w:rsidP="00BD541E">
            <w:pPr>
              <w:overflowPunct/>
              <w:autoSpaceDE/>
              <w:autoSpaceDN/>
              <w:adjustRightInd/>
              <w:spacing w:after="0"/>
              <w:jc w:val="center"/>
              <w:textAlignment w:val="auto"/>
              <w:rPr>
                <w:rFonts w:ascii="Calibri" w:hAnsi="Calibri"/>
                <w:color w:val="000000"/>
                <w:sz w:val="16"/>
                <w:szCs w:val="16"/>
                <w:highlight w:val="yellow"/>
              </w:rPr>
            </w:pPr>
            <w:r w:rsidRPr="006D1C3A">
              <w:rPr>
                <w:rFonts w:ascii="Calibri" w:hAnsi="Calibri"/>
                <w:color w:val="000000"/>
                <w:sz w:val="16"/>
                <w:szCs w:val="16"/>
                <w:highlight w:val="yellow"/>
              </w:rPr>
              <w:t>15</w:t>
            </w:r>
          </w:p>
        </w:tc>
        <w:tc>
          <w:tcPr>
            <w:tcW w:w="636" w:type="dxa"/>
            <w:tcBorders>
              <w:top w:val="nil"/>
              <w:left w:val="nil"/>
              <w:bottom w:val="single" w:sz="4" w:space="0" w:color="auto"/>
              <w:right w:val="single" w:sz="4" w:space="0" w:color="auto"/>
            </w:tcBorders>
            <w:shd w:val="clear" w:color="000000" w:fill="FFFF00"/>
            <w:noWrap/>
            <w:vAlign w:val="center"/>
            <w:hideMark/>
          </w:tcPr>
          <w:p w14:paraId="53BBE83C" w14:textId="77777777" w:rsidR="00502CCC" w:rsidRPr="006D1C3A" w:rsidRDefault="00502CCC" w:rsidP="00BD541E">
            <w:pPr>
              <w:overflowPunct/>
              <w:autoSpaceDE/>
              <w:autoSpaceDN/>
              <w:adjustRightInd/>
              <w:spacing w:after="0"/>
              <w:jc w:val="center"/>
              <w:textAlignment w:val="auto"/>
              <w:rPr>
                <w:rFonts w:ascii="Calibri" w:hAnsi="Calibri"/>
                <w:color w:val="000000"/>
                <w:sz w:val="16"/>
                <w:szCs w:val="16"/>
                <w:highlight w:val="yellow"/>
              </w:rPr>
            </w:pPr>
            <w:r w:rsidRPr="006D1C3A">
              <w:rPr>
                <w:rFonts w:ascii="Calibri" w:hAnsi="Calibri"/>
                <w:color w:val="000000"/>
                <w:sz w:val="16"/>
                <w:szCs w:val="16"/>
                <w:highlight w:val="yellow"/>
              </w:rPr>
              <w:t>4.515</w:t>
            </w:r>
          </w:p>
        </w:tc>
        <w:tc>
          <w:tcPr>
            <w:tcW w:w="723" w:type="dxa"/>
            <w:tcBorders>
              <w:top w:val="nil"/>
              <w:left w:val="nil"/>
              <w:bottom w:val="single" w:sz="4" w:space="0" w:color="auto"/>
              <w:right w:val="single" w:sz="4" w:space="0" w:color="auto"/>
            </w:tcBorders>
            <w:shd w:val="clear" w:color="000000" w:fill="FFFF00"/>
            <w:noWrap/>
            <w:vAlign w:val="center"/>
            <w:hideMark/>
          </w:tcPr>
          <w:p w14:paraId="6AC91E5C" w14:textId="77777777" w:rsidR="00502CCC" w:rsidRPr="006D1C3A" w:rsidRDefault="00502CCC" w:rsidP="00BD541E">
            <w:pPr>
              <w:overflowPunct/>
              <w:autoSpaceDE/>
              <w:autoSpaceDN/>
              <w:adjustRightInd/>
              <w:spacing w:after="0"/>
              <w:jc w:val="center"/>
              <w:textAlignment w:val="auto"/>
              <w:rPr>
                <w:rFonts w:ascii="Calibri" w:hAnsi="Calibri"/>
                <w:color w:val="000000"/>
                <w:sz w:val="16"/>
                <w:szCs w:val="16"/>
                <w:highlight w:val="yellow"/>
              </w:rPr>
            </w:pPr>
            <w:r w:rsidRPr="006D1C3A">
              <w:rPr>
                <w:rFonts w:ascii="Calibri" w:hAnsi="Calibri"/>
                <w:color w:val="000000"/>
                <w:sz w:val="16"/>
                <w:szCs w:val="16"/>
                <w:highlight w:val="yellow"/>
              </w:rPr>
              <w:t>9.375</w:t>
            </w:r>
          </w:p>
        </w:tc>
        <w:tc>
          <w:tcPr>
            <w:tcW w:w="678" w:type="dxa"/>
            <w:tcBorders>
              <w:top w:val="nil"/>
              <w:left w:val="nil"/>
              <w:bottom w:val="single" w:sz="4" w:space="0" w:color="auto"/>
              <w:right w:val="single" w:sz="4" w:space="0" w:color="auto"/>
            </w:tcBorders>
            <w:shd w:val="clear" w:color="000000" w:fill="FFFF00"/>
            <w:noWrap/>
            <w:vAlign w:val="center"/>
            <w:hideMark/>
          </w:tcPr>
          <w:p w14:paraId="409EA416" w14:textId="77777777" w:rsidR="00502CCC" w:rsidRPr="006D1C3A" w:rsidRDefault="00502CCC" w:rsidP="00BD541E">
            <w:pPr>
              <w:overflowPunct/>
              <w:autoSpaceDE/>
              <w:autoSpaceDN/>
              <w:adjustRightInd/>
              <w:spacing w:after="0"/>
              <w:jc w:val="center"/>
              <w:textAlignment w:val="auto"/>
              <w:rPr>
                <w:rFonts w:ascii="Calibri" w:hAnsi="Calibri"/>
                <w:color w:val="000000"/>
                <w:sz w:val="16"/>
                <w:szCs w:val="16"/>
                <w:highlight w:val="yellow"/>
              </w:rPr>
            </w:pPr>
            <w:r w:rsidRPr="006D1C3A">
              <w:rPr>
                <w:rFonts w:ascii="Calibri" w:hAnsi="Calibri"/>
                <w:color w:val="000000"/>
                <w:sz w:val="16"/>
                <w:szCs w:val="16"/>
                <w:highlight w:val="yellow"/>
              </w:rPr>
              <w:t>14.235</w:t>
            </w:r>
          </w:p>
        </w:tc>
        <w:tc>
          <w:tcPr>
            <w:tcW w:w="762" w:type="dxa"/>
            <w:tcBorders>
              <w:top w:val="nil"/>
              <w:left w:val="nil"/>
              <w:bottom w:val="single" w:sz="4" w:space="0" w:color="auto"/>
              <w:right w:val="single" w:sz="4" w:space="0" w:color="auto"/>
            </w:tcBorders>
            <w:shd w:val="clear" w:color="000000" w:fill="FFFF00"/>
            <w:noWrap/>
            <w:vAlign w:val="center"/>
            <w:hideMark/>
          </w:tcPr>
          <w:p w14:paraId="2109B2CA" w14:textId="77777777" w:rsidR="00502CCC" w:rsidRPr="006D1C3A" w:rsidRDefault="00502CCC" w:rsidP="00BD541E">
            <w:pPr>
              <w:overflowPunct/>
              <w:autoSpaceDE/>
              <w:autoSpaceDN/>
              <w:adjustRightInd/>
              <w:spacing w:after="0"/>
              <w:jc w:val="center"/>
              <w:textAlignment w:val="auto"/>
              <w:rPr>
                <w:rFonts w:ascii="Calibri" w:hAnsi="Calibri"/>
                <w:color w:val="000000"/>
                <w:sz w:val="16"/>
                <w:szCs w:val="16"/>
                <w:highlight w:val="yellow"/>
              </w:rPr>
            </w:pPr>
            <w:r w:rsidRPr="006D1C3A">
              <w:rPr>
                <w:rFonts w:ascii="Calibri" w:hAnsi="Calibri"/>
                <w:color w:val="000000"/>
                <w:sz w:val="16"/>
                <w:szCs w:val="16"/>
                <w:highlight w:val="yellow"/>
              </w:rPr>
              <w:t>19.095</w:t>
            </w:r>
          </w:p>
        </w:tc>
        <w:tc>
          <w:tcPr>
            <w:tcW w:w="900" w:type="dxa"/>
            <w:tcBorders>
              <w:top w:val="nil"/>
              <w:left w:val="nil"/>
              <w:bottom w:val="single" w:sz="4" w:space="0" w:color="auto"/>
              <w:right w:val="single" w:sz="4" w:space="0" w:color="auto"/>
            </w:tcBorders>
            <w:shd w:val="clear" w:color="000000" w:fill="FFFF00"/>
            <w:noWrap/>
            <w:vAlign w:val="center"/>
            <w:hideMark/>
          </w:tcPr>
          <w:p w14:paraId="0C1CBE36" w14:textId="77777777" w:rsidR="00502CCC" w:rsidRPr="006D1C3A" w:rsidRDefault="00502CCC" w:rsidP="00BD541E">
            <w:pPr>
              <w:overflowPunct/>
              <w:autoSpaceDE/>
              <w:autoSpaceDN/>
              <w:adjustRightInd/>
              <w:spacing w:after="0"/>
              <w:jc w:val="center"/>
              <w:textAlignment w:val="auto"/>
              <w:rPr>
                <w:rFonts w:ascii="Calibri" w:hAnsi="Calibri"/>
                <w:color w:val="000000"/>
                <w:sz w:val="16"/>
                <w:szCs w:val="16"/>
                <w:highlight w:val="yellow"/>
              </w:rPr>
            </w:pPr>
            <w:r w:rsidRPr="006D1C3A">
              <w:rPr>
                <w:rFonts w:ascii="Calibri" w:hAnsi="Calibri"/>
                <w:color w:val="000000"/>
                <w:sz w:val="16"/>
                <w:szCs w:val="16"/>
                <w:highlight w:val="yellow"/>
              </w:rPr>
              <w:t>24.315</w:t>
            </w:r>
          </w:p>
        </w:tc>
        <w:tc>
          <w:tcPr>
            <w:tcW w:w="720" w:type="dxa"/>
            <w:tcBorders>
              <w:top w:val="nil"/>
              <w:left w:val="nil"/>
              <w:bottom w:val="single" w:sz="4" w:space="0" w:color="auto"/>
              <w:right w:val="single" w:sz="4" w:space="0" w:color="auto"/>
            </w:tcBorders>
            <w:shd w:val="clear" w:color="000000" w:fill="FFFF00"/>
            <w:noWrap/>
            <w:vAlign w:val="center"/>
            <w:hideMark/>
          </w:tcPr>
          <w:p w14:paraId="45B9D464" w14:textId="77777777" w:rsidR="00502CCC" w:rsidRPr="006D1C3A" w:rsidRDefault="00502CCC" w:rsidP="00BD541E">
            <w:pPr>
              <w:overflowPunct/>
              <w:autoSpaceDE/>
              <w:autoSpaceDN/>
              <w:adjustRightInd/>
              <w:spacing w:after="0"/>
              <w:jc w:val="center"/>
              <w:textAlignment w:val="auto"/>
              <w:rPr>
                <w:rFonts w:ascii="Calibri" w:hAnsi="Calibri"/>
                <w:color w:val="000000"/>
                <w:sz w:val="16"/>
                <w:szCs w:val="16"/>
                <w:highlight w:val="yellow"/>
              </w:rPr>
            </w:pPr>
            <w:r w:rsidRPr="006D1C3A">
              <w:rPr>
                <w:rFonts w:ascii="Calibri" w:hAnsi="Calibri"/>
                <w:color w:val="000000"/>
                <w:sz w:val="16"/>
                <w:szCs w:val="16"/>
                <w:highlight w:val="yellow"/>
              </w:rPr>
              <w:t>38.895</w:t>
            </w:r>
          </w:p>
        </w:tc>
        <w:tc>
          <w:tcPr>
            <w:tcW w:w="720" w:type="dxa"/>
            <w:tcBorders>
              <w:top w:val="nil"/>
              <w:left w:val="nil"/>
              <w:bottom w:val="single" w:sz="4" w:space="0" w:color="auto"/>
              <w:right w:val="single" w:sz="4" w:space="0" w:color="auto"/>
            </w:tcBorders>
            <w:shd w:val="clear" w:color="000000" w:fill="FFFF00"/>
            <w:noWrap/>
            <w:vAlign w:val="center"/>
            <w:hideMark/>
          </w:tcPr>
          <w:p w14:paraId="0515D1B4" w14:textId="77777777" w:rsidR="00502CCC" w:rsidRPr="006D1C3A" w:rsidRDefault="00502CCC" w:rsidP="00BD541E">
            <w:pPr>
              <w:overflowPunct/>
              <w:autoSpaceDE/>
              <w:autoSpaceDN/>
              <w:adjustRightInd/>
              <w:spacing w:after="0"/>
              <w:jc w:val="center"/>
              <w:textAlignment w:val="auto"/>
              <w:rPr>
                <w:rFonts w:ascii="Calibri" w:hAnsi="Calibri"/>
                <w:color w:val="000000"/>
                <w:sz w:val="16"/>
                <w:szCs w:val="16"/>
                <w:highlight w:val="yellow"/>
              </w:rPr>
            </w:pPr>
            <w:r w:rsidRPr="006D1C3A">
              <w:rPr>
                <w:rFonts w:ascii="Calibri" w:hAnsi="Calibri"/>
                <w:color w:val="000000"/>
                <w:sz w:val="16"/>
                <w:szCs w:val="16"/>
                <w:highlight w:val="yellow"/>
              </w:rPr>
              <w:t>48.615</w:t>
            </w:r>
          </w:p>
        </w:tc>
        <w:tc>
          <w:tcPr>
            <w:tcW w:w="630" w:type="dxa"/>
            <w:tcBorders>
              <w:top w:val="nil"/>
              <w:left w:val="nil"/>
              <w:bottom w:val="single" w:sz="4" w:space="0" w:color="auto"/>
              <w:right w:val="single" w:sz="4" w:space="0" w:color="auto"/>
            </w:tcBorders>
            <w:shd w:val="clear" w:color="auto" w:fill="auto"/>
            <w:vAlign w:val="center"/>
            <w:hideMark/>
          </w:tcPr>
          <w:p w14:paraId="311AA3E8"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N.A</w:t>
            </w:r>
          </w:p>
        </w:tc>
        <w:tc>
          <w:tcPr>
            <w:tcW w:w="630" w:type="dxa"/>
            <w:tcBorders>
              <w:top w:val="nil"/>
              <w:left w:val="nil"/>
              <w:bottom w:val="single" w:sz="4" w:space="0" w:color="auto"/>
              <w:right w:val="single" w:sz="4" w:space="0" w:color="auto"/>
            </w:tcBorders>
            <w:shd w:val="clear" w:color="auto" w:fill="auto"/>
            <w:vAlign w:val="center"/>
            <w:hideMark/>
          </w:tcPr>
          <w:p w14:paraId="660ED9FD"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N.A</w:t>
            </w:r>
          </w:p>
        </w:tc>
        <w:tc>
          <w:tcPr>
            <w:tcW w:w="630" w:type="dxa"/>
            <w:tcBorders>
              <w:top w:val="nil"/>
              <w:left w:val="nil"/>
              <w:bottom w:val="single" w:sz="4" w:space="0" w:color="auto"/>
              <w:right w:val="single" w:sz="4" w:space="0" w:color="auto"/>
            </w:tcBorders>
            <w:shd w:val="clear" w:color="auto" w:fill="auto"/>
            <w:vAlign w:val="center"/>
            <w:hideMark/>
          </w:tcPr>
          <w:p w14:paraId="62CDAF87"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N.A</w:t>
            </w:r>
          </w:p>
        </w:tc>
      </w:tr>
      <w:tr w:rsidR="00502CCC" w:rsidRPr="00BD157A" w14:paraId="16593F27" w14:textId="77777777" w:rsidTr="00BD541E">
        <w:trPr>
          <w:trHeight w:val="49"/>
          <w:jc w:val="center"/>
        </w:trPr>
        <w:tc>
          <w:tcPr>
            <w:tcW w:w="1342" w:type="dxa"/>
            <w:vMerge/>
            <w:tcBorders>
              <w:top w:val="nil"/>
              <w:left w:val="single" w:sz="4" w:space="0" w:color="auto"/>
              <w:bottom w:val="single" w:sz="4" w:space="0" w:color="auto"/>
              <w:right w:val="single" w:sz="4" w:space="0" w:color="auto"/>
            </w:tcBorders>
            <w:vAlign w:val="center"/>
            <w:hideMark/>
          </w:tcPr>
          <w:p w14:paraId="5DE4FA62" w14:textId="77777777" w:rsidR="00502CCC" w:rsidRPr="00BD157A" w:rsidRDefault="00502CCC" w:rsidP="00BD541E">
            <w:pPr>
              <w:overflowPunct/>
              <w:autoSpaceDE/>
              <w:autoSpaceDN/>
              <w:adjustRightInd/>
              <w:spacing w:after="0"/>
              <w:textAlignment w:val="auto"/>
              <w:rPr>
                <w:rFonts w:ascii="Calibri" w:hAnsi="Calibri"/>
                <w:color w:val="000000"/>
                <w:sz w:val="16"/>
                <w:szCs w:val="16"/>
              </w:rPr>
            </w:pPr>
          </w:p>
        </w:tc>
        <w:tc>
          <w:tcPr>
            <w:tcW w:w="734" w:type="dxa"/>
            <w:tcBorders>
              <w:top w:val="nil"/>
              <w:left w:val="nil"/>
              <w:bottom w:val="single" w:sz="4" w:space="0" w:color="auto"/>
              <w:right w:val="single" w:sz="4" w:space="0" w:color="auto"/>
            </w:tcBorders>
            <w:shd w:val="clear" w:color="auto" w:fill="auto"/>
            <w:vAlign w:val="center"/>
            <w:hideMark/>
          </w:tcPr>
          <w:p w14:paraId="346674FE"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30</w:t>
            </w:r>
          </w:p>
        </w:tc>
        <w:tc>
          <w:tcPr>
            <w:tcW w:w="636" w:type="dxa"/>
            <w:tcBorders>
              <w:top w:val="nil"/>
              <w:left w:val="nil"/>
              <w:bottom w:val="single" w:sz="4" w:space="0" w:color="auto"/>
              <w:right w:val="single" w:sz="4" w:space="0" w:color="auto"/>
            </w:tcBorders>
            <w:shd w:val="clear" w:color="auto" w:fill="auto"/>
            <w:noWrap/>
            <w:vAlign w:val="center"/>
            <w:hideMark/>
          </w:tcPr>
          <w:p w14:paraId="59A3039F"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3.99</w:t>
            </w:r>
          </w:p>
        </w:tc>
        <w:tc>
          <w:tcPr>
            <w:tcW w:w="723" w:type="dxa"/>
            <w:tcBorders>
              <w:top w:val="nil"/>
              <w:left w:val="nil"/>
              <w:bottom w:val="single" w:sz="4" w:space="0" w:color="auto"/>
              <w:right w:val="single" w:sz="4" w:space="0" w:color="auto"/>
            </w:tcBorders>
            <w:shd w:val="clear" w:color="auto" w:fill="auto"/>
            <w:noWrap/>
            <w:vAlign w:val="center"/>
            <w:hideMark/>
          </w:tcPr>
          <w:p w14:paraId="5DCED250"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8.67</w:t>
            </w:r>
          </w:p>
        </w:tc>
        <w:tc>
          <w:tcPr>
            <w:tcW w:w="678" w:type="dxa"/>
            <w:tcBorders>
              <w:top w:val="nil"/>
              <w:left w:val="nil"/>
              <w:bottom w:val="single" w:sz="4" w:space="0" w:color="auto"/>
              <w:right w:val="single" w:sz="4" w:space="0" w:color="auto"/>
            </w:tcBorders>
            <w:shd w:val="clear" w:color="auto" w:fill="auto"/>
            <w:noWrap/>
            <w:vAlign w:val="center"/>
            <w:hideMark/>
          </w:tcPr>
          <w:p w14:paraId="626721F3"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13.71</w:t>
            </w:r>
          </w:p>
        </w:tc>
        <w:tc>
          <w:tcPr>
            <w:tcW w:w="762" w:type="dxa"/>
            <w:tcBorders>
              <w:top w:val="nil"/>
              <w:left w:val="nil"/>
              <w:bottom w:val="single" w:sz="4" w:space="0" w:color="auto"/>
              <w:right w:val="single" w:sz="4" w:space="0" w:color="auto"/>
            </w:tcBorders>
            <w:shd w:val="clear" w:color="auto" w:fill="auto"/>
            <w:noWrap/>
            <w:vAlign w:val="center"/>
            <w:hideMark/>
          </w:tcPr>
          <w:p w14:paraId="298E4DC8"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18.75</w:t>
            </w:r>
          </w:p>
        </w:tc>
        <w:tc>
          <w:tcPr>
            <w:tcW w:w="900" w:type="dxa"/>
            <w:tcBorders>
              <w:top w:val="nil"/>
              <w:left w:val="nil"/>
              <w:bottom w:val="single" w:sz="4" w:space="0" w:color="auto"/>
              <w:right w:val="single" w:sz="4" w:space="0" w:color="auto"/>
            </w:tcBorders>
            <w:shd w:val="clear" w:color="auto" w:fill="auto"/>
            <w:noWrap/>
            <w:vAlign w:val="center"/>
            <w:hideMark/>
          </w:tcPr>
          <w:p w14:paraId="534AB7B7"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23.43</w:t>
            </w:r>
          </w:p>
        </w:tc>
        <w:tc>
          <w:tcPr>
            <w:tcW w:w="720" w:type="dxa"/>
            <w:tcBorders>
              <w:top w:val="nil"/>
              <w:left w:val="nil"/>
              <w:bottom w:val="single" w:sz="4" w:space="0" w:color="auto"/>
              <w:right w:val="single" w:sz="4" w:space="0" w:color="auto"/>
            </w:tcBorders>
            <w:shd w:val="clear" w:color="auto" w:fill="auto"/>
            <w:noWrap/>
            <w:vAlign w:val="center"/>
            <w:hideMark/>
          </w:tcPr>
          <w:p w14:paraId="7476BAF3"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38.19</w:t>
            </w:r>
          </w:p>
        </w:tc>
        <w:tc>
          <w:tcPr>
            <w:tcW w:w="720" w:type="dxa"/>
            <w:tcBorders>
              <w:top w:val="nil"/>
              <w:left w:val="nil"/>
              <w:bottom w:val="single" w:sz="4" w:space="0" w:color="auto"/>
              <w:right w:val="single" w:sz="4" w:space="0" w:color="auto"/>
            </w:tcBorders>
            <w:shd w:val="clear" w:color="auto" w:fill="auto"/>
            <w:noWrap/>
            <w:vAlign w:val="center"/>
            <w:hideMark/>
          </w:tcPr>
          <w:p w14:paraId="09EEE375"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47.91</w:t>
            </w:r>
          </w:p>
        </w:tc>
        <w:tc>
          <w:tcPr>
            <w:tcW w:w="630" w:type="dxa"/>
            <w:tcBorders>
              <w:top w:val="nil"/>
              <w:left w:val="nil"/>
              <w:bottom w:val="single" w:sz="4" w:space="0" w:color="auto"/>
              <w:right w:val="single" w:sz="4" w:space="0" w:color="auto"/>
            </w:tcBorders>
            <w:shd w:val="clear" w:color="000000" w:fill="FFFF00"/>
            <w:noWrap/>
            <w:vAlign w:val="center"/>
            <w:hideMark/>
          </w:tcPr>
          <w:p w14:paraId="2C98B7A0" w14:textId="77777777" w:rsidR="00502CCC" w:rsidRPr="006D1C3A" w:rsidRDefault="00502CCC" w:rsidP="00BD541E">
            <w:pPr>
              <w:overflowPunct/>
              <w:autoSpaceDE/>
              <w:autoSpaceDN/>
              <w:adjustRightInd/>
              <w:spacing w:after="0"/>
              <w:jc w:val="center"/>
              <w:textAlignment w:val="auto"/>
              <w:rPr>
                <w:rFonts w:ascii="Calibri" w:hAnsi="Calibri"/>
                <w:color w:val="000000"/>
                <w:sz w:val="16"/>
                <w:szCs w:val="16"/>
                <w:highlight w:val="yellow"/>
              </w:rPr>
            </w:pPr>
            <w:r w:rsidRPr="006D1C3A">
              <w:rPr>
                <w:rFonts w:ascii="Calibri" w:hAnsi="Calibri"/>
                <w:color w:val="000000"/>
                <w:sz w:val="16"/>
                <w:szCs w:val="16"/>
                <w:highlight w:val="yellow"/>
              </w:rPr>
              <w:t>58.35</w:t>
            </w:r>
          </w:p>
        </w:tc>
        <w:tc>
          <w:tcPr>
            <w:tcW w:w="630" w:type="dxa"/>
            <w:tcBorders>
              <w:top w:val="nil"/>
              <w:left w:val="nil"/>
              <w:bottom w:val="single" w:sz="4" w:space="0" w:color="auto"/>
              <w:right w:val="single" w:sz="4" w:space="0" w:color="auto"/>
            </w:tcBorders>
            <w:shd w:val="clear" w:color="000000" w:fill="FFFF00"/>
            <w:noWrap/>
            <w:vAlign w:val="center"/>
            <w:hideMark/>
          </w:tcPr>
          <w:p w14:paraId="79C950D6" w14:textId="77777777" w:rsidR="00502CCC" w:rsidRPr="006D1C3A" w:rsidRDefault="00502CCC" w:rsidP="00BD541E">
            <w:pPr>
              <w:overflowPunct/>
              <w:autoSpaceDE/>
              <w:autoSpaceDN/>
              <w:adjustRightInd/>
              <w:spacing w:after="0"/>
              <w:jc w:val="center"/>
              <w:textAlignment w:val="auto"/>
              <w:rPr>
                <w:rFonts w:ascii="Calibri" w:hAnsi="Calibri"/>
                <w:color w:val="000000"/>
                <w:sz w:val="16"/>
                <w:szCs w:val="16"/>
                <w:highlight w:val="yellow"/>
              </w:rPr>
            </w:pPr>
            <w:r w:rsidRPr="006D1C3A">
              <w:rPr>
                <w:rFonts w:ascii="Calibri" w:hAnsi="Calibri"/>
                <w:color w:val="000000"/>
                <w:sz w:val="16"/>
                <w:szCs w:val="16"/>
                <w:highlight w:val="yellow"/>
              </w:rPr>
              <w:t>78.15</w:t>
            </w:r>
          </w:p>
        </w:tc>
        <w:tc>
          <w:tcPr>
            <w:tcW w:w="630" w:type="dxa"/>
            <w:tcBorders>
              <w:top w:val="nil"/>
              <w:left w:val="nil"/>
              <w:bottom w:val="single" w:sz="4" w:space="0" w:color="auto"/>
              <w:right w:val="single" w:sz="4" w:space="0" w:color="auto"/>
            </w:tcBorders>
            <w:shd w:val="clear" w:color="000000" w:fill="FFFF00"/>
            <w:noWrap/>
            <w:vAlign w:val="center"/>
            <w:hideMark/>
          </w:tcPr>
          <w:p w14:paraId="3B2F082B" w14:textId="77777777" w:rsidR="00502CCC" w:rsidRPr="006D1C3A" w:rsidRDefault="00502CCC" w:rsidP="00BD541E">
            <w:pPr>
              <w:overflowPunct/>
              <w:autoSpaceDE/>
              <w:autoSpaceDN/>
              <w:adjustRightInd/>
              <w:spacing w:after="0"/>
              <w:jc w:val="center"/>
              <w:textAlignment w:val="auto"/>
              <w:rPr>
                <w:rFonts w:ascii="Calibri" w:hAnsi="Calibri"/>
                <w:color w:val="000000"/>
                <w:sz w:val="16"/>
                <w:szCs w:val="16"/>
                <w:highlight w:val="yellow"/>
              </w:rPr>
            </w:pPr>
            <w:r w:rsidRPr="006D1C3A">
              <w:rPr>
                <w:rFonts w:ascii="Calibri" w:hAnsi="Calibri"/>
                <w:color w:val="000000"/>
                <w:sz w:val="16"/>
                <w:szCs w:val="16"/>
                <w:highlight w:val="yellow"/>
              </w:rPr>
              <w:t>98.31</w:t>
            </w:r>
          </w:p>
        </w:tc>
      </w:tr>
      <w:tr w:rsidR="00502CCC" w:rsidRPr="00BD157A" w14:paraId="1428C2B4" w14:textId="77777777" w:rsidTr="00BD541E">
        <w:trPr>
          <w:trHeight w:val="49"/>
          <w:jc w:val="center"/>
        </w:trPr>
        <w:tc>
          <w:tcPr>
            <w:tcW w:w="1342" w:type="dxa"/>
            <w:vMerge/>
            <w:tcBorders>
              <w:top w:val="nil"/>
              <w:left w:val="single" w:sz="4" w:space="0" w:color="auto"/>
              <w:bottom w:val="single" w:sz="4" w:space="0" w:color="auto"/>
              <w:right w:val="single" w:sz="4" w:space="0" w:color="auto"/>
            </w:tcBorders>
            <w:vAlign w:val="center"/>
            <w:hideMark/>
          </w:tcPr>
          <w:p w14:paraId="78D8735C" w14:textId="77777777" w:rsidR="00502CCC" w:rsidRPr="00BD157A" w:rsidRDefault="00502CCC" w:rsidP="00BD541E">
            <w:pPr>
              <w:overflowPunct/>
              <w:autoSpaceDE/>
              <w:autoSpaceDN/>
              <w:adjustRightInd/>
              <w:spacing w:after="0"/>
              <w:textAlignment w:val="auto"/>
              <w:rPr>
                <w:rFonts w:ascii="Calibri" w:hAnsi="Calibri"/>
                <w:color w:val="000000"/>
                <w:sz w:val="16"/>
                <w:szCs w:val="16"/>
              </w:rPr>
            </w:pPr>
          </w:p>
        </w:tc>
        <w:tc>
          <w:tcPr>
            <w:tcW w:w="734" w:type="dxa"/>
            <w:tcBorders>
              <w:top w:val="nil"/>
              <w:left w:val="nil"/>
              <w:bottom w:val="single" w:sz="4" w:space="0" w:color="auto"/>
              <w:right w:val="single" w:sz="4" w:space="0" w:color="auto"/>
            </w:tcBorders>
            <w:shd w:val="clear" w:color="auto" w:fill="auto"/>
            <w:vAlign w:val="center"/>
            <w:hideMark/>
          </w:tcPr>
          <w:p w14:paraId="22CE9978"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60</w:t>
            </w:r>
          </w:p>
        </w:tc>
        <w:tc>
          <w:tcPr>
            <w:tcW w:w="636" w:type="dxa"/>
            <w:tcBorders>
              <w:top w:val="nil"/>
              <w:left w:val="nil"/>
              <w:bottom w:val="single" w:sz="4" w:space="0" w:color="auto"/>
              <w:right w:val="single" w:sz="4" w:space="0" w:color="auto"/>
            </w:tcBorders>
            <w:shd w:val="clear" w:color="auto" w:fill="auto"/>
            <w:vAlign w:val="center"/>
            <w:hideMark/>
          </w:tcPr>
          <w:p w14:paraId="6AE24C9C"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N.A</w:t>
            </w:r>
          </w:p>
        </w:tc>
        <w:tc>
          <w:tcPr>
            <w:tcW w:w="723" w:type="dxa"/>
            <w:tcBorders>
              <w:top w:val="nil"/>
              <w:left w:val="nil"/>
              <w:bottom w:val="single" w:sz="4" w:space="0" w:color="auto"/>
              <w:right w:val="single" w:sz="4" w:space="0" w:color="auto"/>
            </w:tcBorders>
            <w:shd w:val="clear" w:color="auto" w:fill="auto"/>
            <w:noWrap/>
            <w:vAlign w:val="center"/>
            <w:hideMark/>
          </w:tcPr>
          <w:p w14:paraId="06A1E979"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8.7</w:t>
            </w:r>
          </w:p>
        </w:tc>
        <w:tc>
          <w:tcPr>
            <w:tcW w:w="678" w:type="dxa"/>
            <w:tcBorders>
              <w:top w:val="nil"/>
              <w:left w:val="nil"/>
              <w:bottom w:val="single" w:sz="4" w:space="0" w:color="auto"/>
              <w:right w:val="single" w:sz="4" w:space="0" w:color="auto"/>
            </w:tcBorders>
            <w:shd w:val="clear" w:color="auto" w:fill="auto"/>
            <w:noWrap/>
            <w:vAlign w:val="center"/>
            <w:hideMark/>
          </w:tcPr>
          <w:p w14:paraId="0C86708C"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13.02</w:t>
            </w:r>
          </w:p>
        </w:tc>
        <w:tc>
          <w:tcPr>
            <w:tcW w:w="762" w:type="dxa"/>
            <w:tcBorders>
              <w:top w:val="nil"/>
              <w:left w:val="nil"/>
              <w:bottom w:val="single" w:sz="4" w:space="0" w:color="auto"/>
              <w:right w:val="single" w:sz="4" w:space="0" w:color="auto"/>
            </w:tcBorders>
            <w:shd w:val="clear" w:color="auto" w:fill="auto"/>
            <w:noWrap/>
            <w:vAlign w:val="center"/>
            <w:hideMark/>
          </w:tcPr>
          <w:p w14:paraId="1C985712"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17.34</w:t>
            </w:r>
          </w:p>
        </w:tc>
        <w:tc>
          <w:tcPr>
            <w:tcW w:w="900" w:type="dxa"/>
            <w:tcBorders>
              <w:top w:val="nil"/>
              <w:left w:val="nil"/>
              <w:bottom w:val="single" w:sz="4" w:space="0" w:color="auto"/>
              <w:right w:val="single" w:sz="4" w:space="0" w:color="auto"/>
            </w:tcBorders>
            <w:shd w:val="clear" w:color="auto" w:fill="auto"/>
            <w:noWrap/>
            <w:vAlign w:val="center"/>
            <w:hideMark/>
          </w:tcPr>
          <w:p w14:paraId="1B510776"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23.1</w:t>
            </w:r>
          </w:p>
        </w:tc>
        <w:tc>
          <w:tcPr>
            <w:tcW w:w="720" w:type="dxa"/>
            <w:tcBorders>
              <w:top w:val="nil"/>
              <w:left w:val="nil"/>
              <w:bottom w:val="single" w:sz="4" w:space="0" w:color="auto"/>
              <w:right w:val="single" w:sz="4" w:space="0" w:color="auto"/>
            </w:tcBorders>
            <w:shd w:val="clear" w:color="auto" w:fill="auto"/>
            <w:noWrap/>
            <w:vAlign w:val="center"/>
            <w:hideMark/>
          </w:tcPr>
          <w:p w14:paraId="0E97FD02"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37.5</w:t>
            </w:r>
          </w:p>
        </w:tc>
        <w:tc>
          <w:tcPr>
            <w:tcW w:w="720" w:type="dxa"/>
            <w:tcBorders>
              <w:top w:val="nil"/>
              <w:left w:val="nil"/>
              <w:bottom w:val="single" w:sz="4" w:space="0" w:color="auto"/>
              <w:right w:val="single" w:sz="4" w:space="0" w:color="auto"/>
            </w:tcBorders>
            <w:shd w:val="clear" w:color="auto" w:fill="auto"/>
            <w:noWrap/>
            <w:vAlign w:val="center"/>
            <w:hideMark/>
          </w:tcPr>
          <w:p w14:paraId="77D1DF9C"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46.86</w:t>
            </w:r>
          </w:p>
        </w:tc>
        <w:tc>
          <w:tcPr>
            <w:tcW w:w="630" w:type="dxa"/>
            <w:tcBorders>
              <w:top w:val="nil"/>
              <w:left w:val="nil"/>
              <w:bottom w:val="single" w:sz="4" w:space="0" w:color="auto"/>
              <w:right w:val="single" w:sz="4" w:space="0" w:color="auto"/>
            </w:tcBorders>
            <w:shd w:val="clear" w:color="auto" w:fill="auto"/>
            <w:noWrap/>
            <w:vAlign w:val="center"/>
            <w:hideMark/>
          </w:tcPr>
          <w:p w14:paraId="497C521E"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56.94</w:t>
            </w:r>
          </w:p>
        </w:tc>
        <w:tc>
          <w:tcPr>
            <w:tcW w:w="630" w:type="dxa"/>
            <w:tcBorders>
              <w:top w:val="nil"/>
              <w:left w:val="nil"/>
              <w:bottom w:val="single" w:sz="4" w:space="0" w:color="auto"/>
              <w:right w:val="single" w:sz="4" w:space="0" w:color="auto"/>
            </w:tcBorders>
            <w:shd w:val="clear" w:color="auto" w:fill="auto"/>
            <w:noWrap/>
            <w:vAlign w:val="center"/>
            <w:hideMark/>
          </w:tcPr>
          <w:p w14:paraId="416718D9"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77.1</w:t>
            </w:r>
          </w:p>
        </w:tc>
        <w:tc>
          <w:tcPr>
            <w:tcW w:w="630" w:type="dxa"/>
            <w:tcBorders>
              <w:top w:val="nil"/>
              <w:left w:val="nil"/>
              <w:bottom w:val="single" w:sz="4" w:space="0" w:color="auto"/>
              <w:right w:val="single" w:sz="4" w:space="0" w:color="auto"/>
            </w:tcBorders>
            <w:shd w:val="clear" w:color="auto" w:fill="auto"/>
            <w:noWrap/>
            <w:vAlign w:val="center"/>
            <w:hideMark/>
          </w:tcPr>
          <w:p w14:paraId="2B310F68"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97.26</w:t>
            </w:r>
          </w:p>
        </w:tc>
      </w:tr>
      <w:tr w:rsidR="00502CCC" w:rsidRPr="00BD157A" w14:paraId="531612E9" w14:textId="77777777" w:rsidTr="00BD541E">
        <w:trPr>
          <w:trHeight w:val="49"/>
          <w:jc w:val="center"/>
        </w:trPr>
        <w:tc>
          <w:tcPr>
            <w:tcW w:w="1342" w:type="dxa"/>
            <w:tcBorders>
              <w:top w:val="nil"/>
              <w:left w:val="single" w:sz="4" w:space="0" w:color="auto"/>
              <w:bottom w:val="single" w:sz="4" w:space="0" w:color="auto"/>
              <w:right w:val="single" w:sz="4" w:space="0" w:color="auto"/>
            </w:tcBorders>
            <w:shd w:val="clear" w:color="auto" w:fill="auto"/>
            <w:noWrap/>
            <w:vAlign w:val="center"/>
            <w:hideMark/>
          </w:tcPr>
          <w:p w14:paraId="7AC23686" w14:textId="77777777" w:rsidR="00502CCC" w:rsidRPr="00BD157A" w:rsidRDefault="00502CCC" w:rsidP="00BD541E">
            <w:pPr>
              <w:overflowPunct/>
              <w:autoSpaceDE/>
              <w:autoSpaceDN/>
              <w:adjustRightInd/>
              <w:spacing w:after="0"/>
              <w:textAlignment w:val="auto"/>
              <w:rPr>
                <w:rFonts w:ascii="Calibri" w:hAnsi="Calibri"/>
                <w:color w:val="000000"/>
                <w:sz w:val="16"/>
                <w:szCs w:val="16"/>
              </w:rPr>
            </w:pPr>
            <w:proofErr w:type="spellStart"/>
            <w:r w:rsidRPr="00BD157A">
              <w:rPr>
                <w:rFonts w:ascii="Calibri" w:hAnsi="Calibri"/>
                <w:color w:val="000000"/>
                <w:sz w:val="16"/>
                <w:szCs w:val="16"/>
              </w:rPr>
              <w:t>maxTXBW</w:t>
            </w:r>
            <w:proofErr w:type="spellEnd"/>
            <w:r w:rsidRPr="00BD157A">
              <w:rPr>
                <w:rFonts w:ascii="Calibri" w:hAnsi="Calibri"/>
                <w:color w:val="000000"/>
                <w:sz w:val="16"/>
                <w:szCs w:val="16"/>
              </w:rPr>
              <w:t xml:space="preserve"> [MHz]</w:t>
            </w:r>
          </w:p>
        </w:tc>
        <w:tc>
          <w:tcPr>
            <w:tcW w:w="734" w:type="dxa"/>
            <w:tcBorders>
              <w:top w:val="nil"/>
              <w:left w:val="nil"/>
              <w:bottom w:val="single" w:sz="4" w:space="0" w:color="auto"/>
              <w:right w:val="single" w:sz="4" w:space="0" w:color="auto"/>
            </w:tcBorders>
            <w:shd w:val="clear" w:color="auto" w:fill="auto"/>
            <w:noWrap/>
            <w:vAlign w:val="center"/>
            <w:hideMark/>
          </w:tcPr>
          <w:p w14:paraId="07B2A94C"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lowest</w:t>
            </w:r>
          </w:p>
        </w:tc>
        <w:tc>
          <w:tcPr>
            <w:tcW w:w="636" w:type="dxa"/>
            <w:tcBorders>
              <w:top w:val="nil"/>
              <w:left w:val="nil"/>
              <w:bottom w:val="single" w:sz="4" w:space="0" w:color="auto"/>
              <w:right w:val="single" w:sz="4" w:space="0" w:color="auto"/>
            </w:tcBorders>
            <w:shd w:val="clear" w:color="auto" w:fill="auto"/>
            <w:noWrap/>
            <w:vAlign w:val="center"/>
            <w:hideMark/>
          </w:tcPr>
          <w:p w14:paraId="6C156A66"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4.515</w:t>
            </w:r>
          </w:p>
        </w:tc>
        <w:tc>
          <w:tcPr>
            <w:tcW w:w="723" w:type="dxa"/>
            <w:tcBorders>
              <w:top w:val="nil"/>
              <w:left w:val="nil"/>
              <w:bottom w:val="single" w:sz="4" w:space="0" w:color="auto"/>
              <w:right w:val="single" w:sz="4" w:space="0" w:color="auto"/>
            </w:tcBorders>
            <w:shd w:val="clear" w:color="auto" w:fill="auto"/>
            <w:noWrap/>
            <w:vAlign w:val="center"/>
            <w:hideMark/>
          </w:tcPr>
          <w:p w14:paraId="0C9FC830"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9.375</w:t>
            </w:r>
          </w:p>
        </w:tc>
        <w:tc>
          <w:tcPr>
            <w:tcW w:w="678" w:type="dxa"/>
            <w:tcBorders>
              <w:top w:val="nil"/>
              <w:left w:val="nil"/>
              <w:bottom w:val="single" w:sz="4" w:space="0" w:color="auto"/>
              <w:right w:val="single" w:sz="4" w:space="0" w:color="auto"/>
            </w:tcBorders>
            <w:shd w:val="clear" w:color="auto" w:fill="auto"/>
            <w:noWrap/>
            <w:vAlign w:val="center"/>
            <w:hideMark/>
          </w:tcPr>
          <w:p w14:paraId="68CF9A19"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14.235</w:t>
            </w:r>
          </w:p>
        </w:tc>
        <w:tc>
          <w:tcPr>
            <w:tcW w:w="762" w:type="dxa"/>
            <w:tcBorders>
              <w:top w:val="nil"/>
              <w:left w:val="nil"/>
              <w:bottom w:val="single" w:sz="4" w:space="0" w:color="auto"/>
              <w:right w:val="single" w:sz="4" w:space="0" w:color="auto"/>
            </w:tcBorders>
            <w:shd w:val="clear" w:color="auto" w:fill="auto"/>
            <w:noWrap/>
            <w:vAlign w:val="center"/>
            <w:hideMark/>
          </w:tcPr>
          <w:p w14:paraId="7F57A7EA"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19.095</w:t>
            </w:r>
          </w:p>
        </w:tc>
        <w:tc>
          <w:tcPr>
            <w:tcW w:w="900" w:type="dxa"/>
            <w:tcBorders>
              <w:top w:val="nil"/>
              <w:left w:val="nil"/>
              <w:bottom w:val="single" w:sz="4" w:space="0" w:color="auto"/>
              <w:right w:val="single" w:sz="4" w:space="0" w:color="auto"/>
            </w:tcBorders>
            <w:shd w:val="clear" w:color="auto" w:fill="auto"/>
            <w:noWrap/>
            <w:vAlign w:val="center"/>
            <w:hideMark/>
          </w:tcPr>
          <w:p w14:paraId="60D1BF5B"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24.315</w:t>
            </w:r>
          </w:p>
        </w:tc>
        <w:tc>
          <w:tcPr>
            <w:tcW w:w="720" w:type="dxa"/>
            <w:tcBorders>
              <w:top w:val="nil"/>
              <w:left w:val="nil"/>
              <w:bottom w:val="single" w:sz="4" w:space="0" w:color="auto"/>
              <w:right w:val="single" w:sz="4" w:space="0" w:color="auto"/>
            </w:tcBorders>
            <w:shd w:val="clear" w:color="auto" w:fill="auto"/>
            <w:noWrap/>
            <w:vAlign w:val="center"/>
            <w:hideMark/>
          </w:tcPr>
          <w:p w14:paraId="69A6EFEE"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38.895</w:t>
            </w:r>
          </w:p>
        </w:tc>
        <w:tc>
          <w:tcPr>
            <w:tcW w:w="720" w:type="dxa"/>
            <w:tcBorders>
              <w:top w:val="nil"/>
              <w:left w:val="nil"/>
              <w:bottom w:val="single" w:sz="4" w:space="0" w:color="auto"/>
              <w:right w:val="single" w:sz="4" w:space="0" w:color="auto"/>
            </w:tcBorders>
            <w:shd w:val="clear" w:color="auto" w:fill="auto"/>
            <w:noWrap/>
            <w:vAlign w:val="center"/>
            <w:hideMark/>
          </w:tcPr>
          <w:p w14:paraId="444F708D"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48.615</w:t>
            </w:r>
          </w:p>
        </w:tc>
        <w:tc>
          <w:tcPr>
            <w:tcW w:w="630" w:type="dxa"/>
            <w:tcBorders>
              <w:top w:val="nil"/>
              <w:left w:val="nil"/>
              <w:bottom w:val="single" w:sz="4" w:space="0" w:color="auto"/>
              <w:right w:val="single" w:sz="4" w:space="0" w:color="auto"/>
            </w:tcBorders>
            <w:shd w:val="clear" w:color="auto" w:fill="auto"/>
            <w:noWrap/>
            <w:vAlign w:val="center"/>
            <w:hideMark/>
          </w:tcPr>
          <w:p w14:paraId="369DAB10"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58.35</w:t>
            </w:r>
          </w:p>
        </w:tc>
        <w:tc>
          <w:tcPr>
            <w:tcW w:w="630" w:type="dxa"/>
            <w:tcBorders>
              <w:top w:val="nil"/>
              <w:left w:val="nil"/>
              <w:bottom w:val="single" w:sz="4" w:space="0" w:color="auto"/>
              <w:right w:val="single" w:sz="4" w:space="0" w:color="auto"/>
            </w:tcBorders>
            <w:shd w:val="clear" w:color="auto" w:fill="auto"/>
            <w:noWrap/>
            <w:vAlign w:val="center"/>
            <w:hideMark/>
          </w:tcPr>
          <w:p w14:paraId="59B8567C"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78.15</w:t>
            </w:r>
          </w:p>
        </w:tc>
        <w:tc>
          <w:tcPr>
            <w:tcW w:w="630" w:type="dxa"/>
            <w:tcBorders>
              <w:top w:val="nil"/>
              <w:left w:val="nil"/>
              <w:bottom w:val="single" w:sz="4" w:space="0" w:color="auto"/>
              <w:right w:val="single" w:sz="4" w:space="0" w:color="auto"/>
            </w:tcBorders>
            <w:shd w:val="clear" w:color="auto" w:fill="auto"/>
            <w:noWrap/>
            <w:vAlign w:val="center"/>
            <w:hideMark/>
          </w:tcPr>
          <w:p w14:paraId="0FDAAC71" w14:textId="77777777" w:rsidR="00502CCC" w:rsidRPr="00BD157A" w:rsidRDefault="00502CCC"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98.31</w:t>
            </w:r>
          </w:p>
        </w:tc>
      </w:tr>
    </w:tbl>
    <w:p w14:paraId="023DF4B2" w14:textId="5423FCA2" w:rsidR="00B1186A" w:rsidRDefault="00B1186A" w:rsidP="000D0AB2">
      <w:pPr>
        <w:rPr>
          <w:rFonts w:eastAsia="SimSun"/>
          <w:lang w:val="en-GB" w:eastAsia="zh-CN"/>
        </w:rPr>
      </w:pPr>
    </w:p>
    <w:p w14:paraId="039FC379" w14:textId="21F94FE8" w:rsidR="002033E2" w:rsidRDefault="002033E2" w:rsidP="000D0AB2">
      <w:pPr>
        <w:rPr>
          <w:rFonts w:eastAsia="SimSun"/>
          <w:lang w:val="en-GB" w:eastAsia="zh-CN"/>
        </w:rPr>
      </w:pPr>
      <w:r>
        <w:rPr>
          <w:rFonts w:eastAsia="SimSun"/>
          <w:lang w:val="en-GB" w:eastAsia="zh-CN"/>
        </w:rPr>
        <w:t>Note that for FR1:</w:t>
      </w:r>
    </w:p>
    <w:p w14:paraId="52AAAF9E" w14:textId="14A1DF46" w:rsidR="002033E2" w:rsidRPr="00977BAA" w:rsidRDefault="0013113D" w:rsidP="00B01D22">
      <w:pPr>
        <w:pStyle w:val="ListParagraph"/>
        <w:numPr>
          <w:ilvl w:val="0"/>
          <w:numId w:val="28"/>
        </w:numPr>
        <w:rPr>
          <w:lang w:val="en-GB" w:eastAsia="zh-CN"/>
        </w:rPr>
      </w:pPr>
      <w:r w:rsidRPr="00977BAA">
        <w:rPr>
          <w:lang w:val="en-GB" w:eastAsia="zh-CN"/>
        </w:rPr>
        <w:t xml:space="preserve">The </w:t>
      </w:r>
      <w:r w:rsidR="002033E2" w:rsidRPr="00977BAA">
        <w:rPr>
          <w:lang w:val="en-GB" w:eastAsia="zh-CN"/>
        </w:rPr>
        <w:t xml:space="preserve">NR Adjacent Channel Leakage </w:t>
      </w:r>
      <w:proofErr w:type="gramStart"/>
      <w:r w:rsidR="002033E2" w:rsidRPr="00977BAA">
        <w:rPr>
          <w:lang w:val="en-GB" w:eastAsia="zh-CN"/>
        </w:rPr>
        <w:t>power</w:t>
      </w:r>
      <w:proofErr w:type="gramEnd"/>
      <w:r w:rsidR="002033E2" w:rsidRPr="00977BAA">
        <w:rPr>
          <w:lang w:val="en-GB" w:eastAsia="zh-CN"/>
        </w:rPr>
        <w:t xml:space="preserve"> Ratio (NRACLR) is defined as the ratio of the filtered mean power cent</w:t>
      </w:r>
      <w:r w:rsidR="0057008B">
        <w:rPr>
          <w:lang w:val="en-GB" w:eastAsia="zh-CN"/>
        </w:rPr>
        <w:t>e</w:t>
      </w:r>
      <w:r w:rsidR="002033E2" w:rsidRPr="00977BAA">
        <w:rPr>
          <w:lang w:val="en-GB" w:eastAsia="zh-CN"/>
        </w:rPr>
        <w:t>red on the assigned NR channel frequency to the filtered mean power cent</w:t>
      </w:r>
      <w:r w:rsidR="00C12498">
        <w:rPr>
          <w:lang w:val="en-GB" w:eastAsia="zh-CN"/>
        </w:rPr>
        <w:t>e</w:t>
      </w:r>
      <w:r w:rsidR="002033E2" w:rsidRPr="00977BAA">
        <w:rPr>
          <w:lang w:val="en-GB" w:eastAsia="zh-CN"/>
        </w:rPr>
        <w:t>red on an adjacent NR channel frequency at nominal channel spacing,</w:t>
      </w:r>
    </w:p>
    <w:p w14:paraId="591C4FED" w14:textId="71B22080" w:rsidR="002033E2" w:rsidRPr="002033E2" w:rsidRDefault="002033E2" w:rsidP="002033E2">
      <w:pPr>
        <w:pStyle w:val="ListParagraph"/>
        <w:numPr>
          <w:ilvl w:val="0"/>
          <w:numId w:val="28"/>
        </w:numPr>
        <w:rPr>
          <w:lang w:val="en-GB" w:eastAsia="zh-CN"/>
        </w:rPr>
      </w:pPr>
      <w:r w:rsidRPr="002033E2">
        <w:rPr>
          <w:lang w:val="en-GB" w:eastAsia="zh-CN"/>
        </w:rPr>
        <w:t>The minimum guard</w:t>
      </w:r>
      <w:r w:rsidR="0057008B">
        <w:rPr>
          <w:lang w:val="en-GB" w:eastAsia="zh-CN"/>
        </w:rPr>
        <w:t xml:space="preserve"> </w:t>
      </w:r>
      <w:r w:rsidRPr="002033E2">
        <w:rPr>
          <w:lang w:val="en-GB" w:eastAsia="zh-CN"/>
        </w:rPr>
        <w:t>bands have been calculated using the following equation: (BW</w:t>
      </w:r>
      <w:r w:rsidR="0057008B">
        <w:rPr>
          <w:lang w:val="en-GB" w:eastAsia="zh-CN"/>
        </w:rPr>
        <w:t xml:space="preserve"> </w:t>
      </w:r>
      <w:r w:rsidRPr="002033E2">
        <w:rPr>
          <w:lang w:val="en-GB" w:eastAsia="zh-CN"/>
        </w:rPr>
        <w:t>Channel x 1000 (kHz) - NRB x SC</w:t>
      </w:r>
      <w:r>
        <w:rPr>
          <w:lang w:val="en-GB" w:eastAsia="zh-CN"/>
        </w:rPr>
        <w:t xml:space="preserve">S x 12) / 2 - SCS/2, where NRB </w:t>
      </w:r>
      <w:r w:rsidRPr="002033E2">
        <w:rPr>
          <w:lang w:val="en-GB" w:eastAsia="zh-CN"/>
        </w:rPr>
        <w:t xml:space="preserve">are from </w:t>
      </w:r>
      <w:r>
        <w:rPr>
          <w:lang w:val="en-GB" w:eastAsia="zh-CN"/>
        </w:rPr>
        <w:t xml:space="preserve">38.101-1 </w:t>
      </w:r>
      <w:r w:rsidRPr="002033E2">
        <w:rPr>
          <w:lang w:val="en-GB" w:eastAsia="zh-CN"/>
        </w:rPr>
        <w:t>Table 5.3.2-1.</w:t>
      </w:r>
    </w:p>
    <w:p w14:paraId="5605C4DC" w14:textId="5995CEB3" w:rsidR="002033E2" w:rsidRDefault="002033E2" w:rsidP="002033E2">
      <w:pPr>
        <w:pStyle w:val="ListParagraph"/>
        <w:numPr>
          <w:ilvl w:val="0"/>
          <w:numId w:val="28"/>
        </w:numPr>
        <w:rPr>
          <w:lang w:val="en-GB" w:eastAsia="zh-CN"/>
        </w:rPr>
      </w:pPr>
      <w:r>
        <w:rPr>
          <w:lang w:val="en-GB" w:eastAsia="zh-CN"/>
        </w:rPr>
        <w:t xml:space="preserve">The same MBW is used to measure the wanted channel power and the adjacent channel power. The MBW is specified in 38.101-1 Table 6.5.2.4.1-1, and reproduced in </w:t>
      </w:r>
      <w:r>
        <w:rPr>
          <w:lang w:val="en-GB" w:eastAsia="zh-CN"/>
        </w:rPr>
        <w:fldChar w:fldCharType="begin"/>
      </w:r>
      <w:r>
        <w:rPr>
          <w:lang w:val="en-GB" w:eastAsia="zh-CN"/>
        </w:rPr>
        <w:instrText xml:space="preserve"> REF _Ref32577191 \h </w:instrText>
      </w:r>
      <w:r>
        <w:rPr>
          <w:lang w:val="en-GB" w:eastAsia="zh-CN"/>
        </w:rPr>
      </w:r>
      <w:r>
        <w:rPr>
          <w:lang w:val="en-GB" w:eastAsia="zh-CN"/>
        </w:rPr>
        <w:fldChar w:fldCharType="separate"/>
      </w:r>
      <w:r>
        <w:t xml:space="preserve">Table </w:t>
      </w:r>
      <w:r>
        <w:rPr>
          <w:noProof/>
        </w:rPr>
        <w:t>2</w:t>
      </w:r>
      <w:r>
        <w:rPr>
          <w:lang w:val="en-GB" w:eastAsia="zh-CN"/>
        </w:rPr>
        <w:fldChar w:fldCharType="end"/>
      </w:r>
      <w:r>
        <w:rPr>
          <w:lang w:val="en-GB" w:eastAsia="zh-CN"/>
        </w:rPr>
        <w:t xml:space="preserve"> below,</w:t>
      </w:r>
    </w:p>
    <w:p w14:paraId="79E4C835" w14:textId="6327A123" w:rsidR="002033E2" w:rsidRDefault="0013113D" w:rsidP="002033E2">
      <w:pPr>
        <w:pStyle w:val="ListParagraph"/>
        <w:numPr>
          <w:ilvl w:val="0"/>
          <w:numId w:val="28"/>
        </w:numPr>
        <w:rPr>
          <w:lang w:val="en-GB" w:eastAsia="zh-CN"/>
        </w:rPr>
      </w:pPr>
      <w:r>
        <w:rPr>
          <w:lang w:val="en-GB" w:eastAsia="zh-CN"/>
        </w:rPr>
        <w:t>Even though</w:t>
      </w:r>
      <w:r w:rsidR="002033E2">
        <w:rPr>
          <w:lang w:val="en-GB" w:eastAsia="zh-CN"/>
        </w:rPr>
        <w:t xml:space="preserve"> not </w:t>
      </w:r>
      <w:r>
        <w:rPr>
          <w:lang w:val="en-GB" w:eastAsia="zh-CN"/>
        </w:rPr>
        <w:t>explicitly</w:t>
      </w:r>
      <w:r w:rsidR="002033E2">
        <w:rPr>
          <w:lang w:val="en-GB" w:eastAsia="zh-CN"/>
        </w:rPr>
        <w:t xml:space="preserve"> specified in </w:t>
      </w:r>
      <w:r w:rsidR="002033E2">
        <w:rPr>
          <w:lang w:val="en-GB" w:eastAsia="zh-CN"/>
        </w:rPr>
        <w:fldChar w:fldCharType="begin"/>
      </w:r>
      <w:r w:rsidR="002033E2">
        <w:rPr>
          <w:lang w:val="en-GB" w:eastAsia="zh-CN"/>
        </w:rPr>
        <w:instrText xml:space="preserve"> REF _Ref32577191 \h </w:instrText>
      </w:r>
      <w:r w:rsidR="002033E2">
        <w:rPr>
          <w:lang w:val="en-GB" w:eastAsia="zh-CN"/>
        </w:rPr>
      </w:r>
      <w:r w:rsidR="002033E2">
        <w:rPr>
          <w:lang w:val="en-GB" w:eastAsia="zh-CN"/>
        </w:rPr>
        <w:fldChar w:fldCharType="separate"/>
      </w:r>
      <w:r w:rsidR="002033E2">
        <w:t xml:space="preserve">Table </w:t>
      </w:r>
      <w:r w:rsidR="002033E2">
        <w:rPr>
          <w:noProof/>
        </w:rPr>
        <w:t>2</w:t>
      </w:r>
      <w:r w:rsidR="002033E2">
        <w:rPr>
          <w:lang w:val="en-GB" w:eastAsia="zh-CN"/>
        </w:rPr>
        <w:fldChar w:fldCharType="end"/>
      </w:r>
      <w:r w:rsidR="002033E2">
        <w:rPr>
          <w:lang w:val="en-GB" w:eastAsia="zh-CN"/>
        </w:rPr>
        <w:t xml:space="preserve">, the offset for the adjacent channel MBW centre is </w:t>
      </w:r>
      <w:r w:rsidR="002033E2" w:rsidRPr="002033E2">
        <w:rPr>
          <w:lang w:val="en-GB" w:eastAsia="zh-CN"/>
        </w:rPr>
        <w:t xml:space="preserve">+/- Channel BW from wanted channel </w:t>
      </w:r>
      <w:proofErr w:type="spellStart"/>
      <w:r w:rsidR="002033E2" w:rsidRPr="002033E2">
        <w:rPr>
          <w:lang w:val="en-GB" w:eastAsia="zh-CN"/>
        </w:rPr>
        <w:t>cente</w:t>
      </w:r>
      <w:r w:rsidR="0057008B">
        <w:rPr>
          <w:lang w:val="en-GB" w:eastAsia="zh-CN"/>
        </w:rPr>
        <w:t>r</w:t>
      </w:r>
      <w:proofErr w:type="spellEnd"/>
      <w:r w:rsidR="002033E2" w:rsidRPr="002033E2">
        <w:rPr>
          <w:lang w:val="en-GB" w:eastAsia="zh-CN"/>
        </w:rPr>
        <w:t xml:space="preserve"> (in the middle of the Channel)</w:t>
      </w:r>
      <w:r>
        <w:rPr>
          <w:lang w:val="en-GB" w:eastAsia="zh-CN"/>
        </w:rPr>
        <w:t xml:space="preserve"> [2].</w:t>
      </w:r>
    </w:p>
    <w:p w14:paraId="2C6ACF36" w14:textId="365E0C5B" w:rsidR="002033E2" w:rsidRDefault="002033E2" w:rsidP="002033E2">
      <w:pPr>
        <w:pStyle w:val="ListParagraph"/>
        <w:rPr>
          <w:lang w:val="en-GB" w:eastAsia="zh-CN"/>
        </w:rPr>
      </w:pPr>
    </w:p>
    <w:p w14:paraId="510CD021" w14:textId="047E46B4" w:rsidR="002033E2" w:rsidRDefault="002033E2" w:rsidP="002033E2">
      <w:pPr>
        <w:pStyle w:val="Caption"/>
      </w:pPr>
      <w:bookmarkStart w:id="5" w:name="_Ref32577191"/>
      <w:r>
        <w:t xml:space="preserve">Table </w:t>
      </w:r>
      <w:fldSimple w:instr=" SEQ Table \* ARABIC ">
        <w:r>
          <w:rPr>
            <w:noProof/>
          </w:rPr>
          <w:t>2</w:t>
        </w:r>
      </w:fldSimple>
      <w:bookmarkEnd w:id="5"/>
      <w:r>
        <w:t>: ACLR and wanted channel MBW for FR1</w:t>
      </w:r>
    </w:p>
    <w:tbl>
      <w:tblPr>
        <w:tblW w:w="10031"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667"/>
        <w:gridCol w:w="796"/>
      </w:tblGrid>
      <w:tr w:rsidR="002033E2" w:rsidRPr="0045091F" w14:paraId="57086626" w14:textId="77777777" w:rsidTr="00BD541E">
        <w:trPr>
          <w:trHeight w:val="240"/>
          <w:jc w:val="center"/>
        </w:trPr>
        <w:tc>
          <w:tcPr>
            <w:tcW w:w="10031" w:type="dxa"/>
            <w:gridSpan w:val="14"/>
            <w:tcBorders>
              <w:top w:val="single" w:sz="4" w:space="0" w:color="auto"/>
              <w:left w:val="single" w:sz="4" w:space="0" w:color="auto"/>
              <w:bottom w:val="single" w:sz="4" w:space="0" w:color="auto"/>
              <w:right w:val="single" w:sz="4" w:space="0" w:color="auto"/>
            </w:tcBorders>
          </w:tcPr>
          <w:p w14:paraId="228B5A00" w14:textId="77777777" w:rsidR="002033E2" w:rsidRPr="0045091F" w:rsidRDefault="002033E2" w:rsidP="00BD541E">
            <w:pPr>
              <w:pStyle w:val="TAH"/>
            </w:pPr>
            <w:r w:rsidRPr="0045091F">
              <w:t>NR channel bandwidth / NR ACLR measurement bandwidth</w:t>
            </w:r>
          </w:p>
        </w:tc>
      </w:tr>
      <w:tr w:rsidR="002033E2" w:rsidRPr="0045091F" w14:paraId="3AA1D560" w14:textId="77777777" w:rsidTr="00BD541E">
        <w:trPr>
          <w:trHeight w:val="240"/>
          <w:jc w:val="center"/>
        </w:trPr>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3A9D3" w14:textId="77777777" w:rsidR="002033E2" w:rsidRPr="0045091F" w:rsidRDefault="002033E2" w:rsidP="00BD541E">
            <w:pPr>
              <w:pStyle w:val="TAH"/>
            </w:pP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14:paraId="56D704AE" w14:textId="77777777" w:rsidR="002033E2" w:rsidRPr="0045091F" w:rsidRDefault="002033E2" w:rsidP="00BD541E">
            <w:pPr>
              <w:pStyle w:val="TAH"/>
            </w:pPr>
            <w:r w:rsidRPr="0045091F">
              <w:t>5 MHz</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14:paraId="11DB58F6" w14:textId="77777777" w:rsidR="002033E2" w:rsidRPr="0045091F" w:rsidRDefault="002033E2" w:rsidP="00BD541E">
            <w:pPr>
              <w:pStyle w:val="TAH"/>
            </w:pPr>
            <w:r w:rsidRPr="0045091F">
              <w:t>10 MHz</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6F08F5D" w14:textId="77777777" w:rsidR="002033E2" w:rsidRPr="0045091F" w:rsidRDefault="002033E2" w:rsidP="00BD541E">
            <w:pPr>
              <w:pStyle w:val="TAH"/>
            </w:pPr>
            <w:r w:rsidRPr="0045091F">
              <w:t>15 MHz</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5B8ACE3" w14:textId="77777777" w:rsidR="002033E2" w:rsidRPr="0045091F" w:rsidRDefault="002033E2" w:rsidP="00BD541E">
            <w:pPr>
              <w:pStyle w:val="TAH"/>
            </w:pPr>
            <w:r w:rsidRPr="0045091F">
              <w:t>20 MHz</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8CD72F4" w14:textId="77777777" w:rsidR="002033E2" w:rsidRPr="0045091F" w:rsidRDefault="002033E2" w:rsidP="00BD541E">
            <w:pPr>
              <w:pStyle w:val="TAH"/>
            </w:pPr>
            <w:r w:rsidRPr="0045091F">
              <w:t>25 MHz</w:t>
            </w:r>
          </w:p>
        </w:tc>
        <w:tc>
          <w:tcPr>
            <w:tcW w:w="709" w:type="dxa"/>
            <w:tcBorders>
              <w:top w:val="single" w:sz="4" w:space="0" w:color="auto"/>
              <w:left w:val="nil"/>
              <w:bottom w:val="single" w:sz="4" w:space="0" w:color="auto"/>
              <w:right w:val="single" w:sz="4" w:space="0" w:color="auto"/>
            </w:tcBorders>
            <w:vAlign w:val="center"/>
          </w:tcPr>
          <w:p w14:paraId="0CBFE977" w14:textId="77777777" w:rsidR="002033E2" w:rsidRPr="0045091F" w:rsidRDefault="002033E2" w:rsidP="00BD541E">
            <w:pPr>
              <w:pStyle w:val="TAH"/>
            </w:pPr>
            <w:r w:rsidRPr="0045091F">
              <w:t>30 MHz</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6C2025" w14:textId="77777777" w:rsidR="002033E2" w:rsidRPr="0045091F" w:rsidRDefault="002033E2" w:rsidP="00BD541E">
            <w:pPr>
              <w:pStyle w:val="TAH"/>
            </w:pPr>
            <w:r w:rsidRPr="0045091F">
              <w:t>40 MHz</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41A01D6" w14:textId="77777777" w:rsidR="002033E2" w:rsidRPr="0045091F" w:rsidRDefault="002033E2" w:rsidP="00BD541E">
            <w:pPr>
              <w:pStyle w:val="TAH"/>
            </w:pPr>
            <w:r w:rsidRPr="0045091F">
              <w:t>50 MHz</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14:paraId="74C532C6" w14:textId="77777777" w:rsidR="002033E2" w:rsidRPr="0045091F" w:rsidRDefault="002033E2" w:rsidP="00BD541E">
            <w:pPr>
              <w:pStyle w:val="TAH"/>
            </w:pPr>
            <w:r w:rsidRPr="0045091F">
              <w:t>60 MHz</w:t>
            </w:r>
          </w:p>
        </w:tc>
        <w:tc>
          <w:tcPr>
            <w:tcW w:w="620" w:type="dxa"/>
            <w:tcBorders>
              <w:top w:val="single" w:sz="4" w:space="0" w:color="auto"/>
              <w:left w:val="single" w:sz="4" w:space="0" w:color="auto"/>
              <w:bottom w:val="single" w:sz="4" w:space="0" w:color="auto"/>
              <w:right w:val="single" w:sz="4" w:space="0" w:color="auto"/>
            </w:tcBorders>
            <w:vAlign w:val="center"/>
          </w:tcPr>
          <w:p w14:paraId="4C39D36F" w14:textId="77777777" w:rsidR="002033E2" w:rsidRPr="0045091F" w:rsidRDefault="002033E2" w:rsidP="00BD541E">
            <w:pPr>
              <w:pStyle w:val="TAH"/>
            </w:pPr>
            <w:r>
              <w:t>7</w:t>
            </w:r>
            <w:r w:rsidRPr="0045091F">
              <w:t>0 MHz</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712CC1" w14:textId="77777777" w:rsidR="002033E2" w:rsidRPr="0045091F" w:rsidRDefault="002033E2" w:rsidP="00BD541E">
            <w:pPr>
              <w:pStyle w:val="TAH"/>
            </w:pPr>
            <w:r w:rsidRPr="0045091F">
              <w:t>80 MHz</w:t>
            </w:r>
          </w:p>
        </w:tc>
        <w:tc>
          <w:tcPr>
            <w:tcW w:w="620" w:type="dxa"/>
            <w:tcBorders>
              <w:top w:val="single" w:sz="4" w:space="0" w:color="auto"/>
              <w:left w:val="single" w:sz="4" w:space="0" w:color="auto"/>
              <w:bottom w:val="single" w:sz="4" w:space="0" w:color="auto"/>
              <w:right w:val="single" w:sz="4" w:space="0" w:color="auto"/>
            </w:tcBorders>
            <w:vAlign w:val="center"/>
          </w:tcPr>
          <w:p w14:paraId="4DCEC360" w14:textId="77777777" w:rsidR="002033E2" w:rsidRPr="0045091F" w:rsidRDefault="002033E2" w:rsidP="00BD541E">
            <w:pPr>
              <w:pStyle w:val="TAH"/>
            </w:pPr>
            <w:r w:rsidRPr="0045091F">
              <w:t>90 MHz</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A1CDC" w14:textId="77777777" w:rsidR="002033E2" w:rsidRPr="0045091F" w:rsidRDefault="002033E2" w:rsidP="00BD541E">
            <w:pPr>
              <w:pStyle w:val="TAH"/>
            </w:pPr>
            <w:r w:rsidRPr="0045091F">
              <w:t>100 MHz</w:t>
            </w:r>
          </w:p>
        </w:tc>
      </w:tr>
      <w:tr w:rsidR="002033E2" w:rsidRPr="0045091F" w14:paraId="1A7E60BF" w14:textId="77777777" w:rsidTr="00BD541E">
        <w:trPr>
          <w:trHeight w:val="240"/>
          <w:jc w:val="center"/>
        </w:trPr>
        <w:tc>
          <w:tcPr>
            <w:tcW w:w="1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839937" w14:textId="77777777" w:rsidR="002033E2" w:rsidRPr="0045091F" w:rsidRDefault="002033E2" w:rsidP="00BD541E">
            <w:pPr>
              <w:pStyle w:val="TAH"/>
              <w:rPr>
                <w:rFonts w:eastAsia="Yu Mincho"/>
              </w:rPr>
            </w:pPr>
            <w:r w:rsidRPr="0045091F">
              <w:t>NR ACLR measurement bandwidth</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14:paraId="6C99CEE9" w14:textId="77777777" w:rsidR="002033E2" w:rsidRPr="0045091F" w:rsidRDefault="002033E2" w:rsidP="00BD541E">
            <w:pPr>
              <w:pStyle w:val="TAC"/>
              <w:rPr>
                <w:rFonts w:eastAsia="Yu Mincho"/>
                <w:snapToGrid w:val="0"/>
              </w:rPr>
            </w:pPr>
            <w:r w:rsidRPr="0045091F">
              <w:rPr>
                <w:rFonts w:eastAsia="Yu Mincho"/>
                <w:snapToGrid w:val="0"/>
              </w:rPr>
              <w:t>4.515</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14:paraId="63A3AB44" w14:textId="77777777" w:rsidR="002033E2" w:rsidRPr="0045091F" w:rsidRDefault="002033E2" w:rsidP="00BD541E">
            <w:pPr>
              <w:pStyle w:val="TAC"/>
              <w:rPr>
                <w:rFonts w:eastAsia="Yu Mincho"/>
                <w:snapToGrid w:val="0"/>
              </w:rPr>
            </w:pPr>
            <w:r w:rsidRPr="0045091F">
              <w:rPr>
                <w:rFonts w:eastAsia="Yu Mincho"/>
                <w:snapToGrid w:val="0"/>
              </w:rPr>
              <w:t>9.375</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8EE3BD4" w14:textId="77777777" w:rsidR="002033E2" w:rsidRPr="0045091F" w:rsidRDefault="002033E2" w:rsidP="00BD541E">
            <w:pPr>
              <w:pStyle w:val="TAC"/>
              <w:rPr>
                <w:rFonts w:eastAsia="Yu Mincho"/>
                <w:snapToGrid w:val="0"/>
              </w:rPr>
            </w:pPr>
            <w:r w:rsidRPr="0045091F">
              <w:rPr>
                <w:rFonts w:eastAsia="Yu Mincho"/>
                <w:snapToGrid w:val="0"/>
              </w:rPr>
              <w:t>14.235</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679EB9E" w14:textId="77777777" w:rsidR="002033E2" w:rsidRPr="0045091F" w:rsidRDefault="002033E2" w:rsidP="00BD541E">
            <w:pPr>
              <w:pStyle w:val="TAC"/>
              <w:rPr>
                <w:rFonts w:eastAsia="Yu Mincho"/>
                <w:snapToGrid w:val="0"/>
              </w:rPr>
            </w:pPr>
            <w:r w:rsidRPr="0045091F">
              <w:rPr>
                <w:rFonts w:eastAsia="Yu Mincho"/>
                <w:snapToGrid w:val="0"/>
              </w:rPr>
              <w:t>19.095</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E50B756" w14:textId="77777777" w:rsidR="002033E2" w:rsidRPr="0045091F" w:rsidRDefault="002033E2" w:rsidP="00BD541E">
            <w:pPr>
              <w:pStyle w:val="TAC"/>
              <w:rPr>
                <w:rFonts w:eastAsia="Yu Mincho"/>
                <w:snapToGrid w:val="0"/>
              </w:rPr>
            </w:pPr>
            <w:r w:rsidRPr="0045091F">
              <w:rPr>
                <w:rFonts w:eastAsia="Yu Mincho"/>
                <w:snapToGrid w:val="0"/>
              </w:rPr>
              <w:t>23.955</w:t>
            </w:r>
          </w:p>
        </w:tc>
        <w:tc>
          <w:tcPr>
            <w:tcW w:w="709" w:type="dxa"/>
            <w:tcBorders>
              <w:top w:val="single" w:sz="4" w:space="0" w:color="auto"/>
              <w:left w:val="nil"/>
              <w:bottom w:val="single" w:sz="4" w:space="0" w:color="auto"/>
              <w:right w:val="single" w:sz="4" w:space="0" w:color="auto"/>
            </w:tcBorders>
            <w:vAlign w:val="center"/>
          </w:tcPr>
          <w:p w14:paraId="499614CA" w14:textId="77777777" w:rsidR="002033E2" w:rsidRPr="0045091F" w:rsidRDefault="002033E2" w:rsidP="00BD541E">
            <w:pPr>
              <w:pStyle w:val="TAC"/>
              <w:rPr>
                <w:rFonts w:eastAsia="Yu Mincho"/>
                <w:snapToGrid w:val="0"/>
              </w:rPr>
            </w:pPr>
            <w:r w:rsidRPr="0045091F">
              <w:rPr>
                <w:rFonts w:eastAsia="Yu Mincho"/>
                <w:snapToGrid w:val="0"/>
              </w:rPr>
              <w:t>28.815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86C37" w14:textId="77777777" w:rsidR="002033E2" w:rsidRPr="0045091F" w:rsidRDefault="002033E2" w:rsidP="00BD541E">
            <w:pPr>
              <w:pStyle w:val="TAC"/>
              <w:rPr>
                <w:rFonts w:eastAsia="Yu Mincho"/>
                <w:snapToGrid w:val="0"/>
              </w:rPr>
            </w:pPr>
            <w:r w:rsidRPr="0045091F">
              <w:rPr>
                <w:rFonts w:eastAsia="Yu Mincho"/>
                <w:snapToGrid w:val="0"/>
              </w:rPr>
              <w:t>38.895</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14C43DC" w14:textId="77777777" w:rsidR="002033E2" w:rsidRPr="0045091F" w:rsidRDefault="002033E2" w:rsidP="00BD541E">
            <w:pPr>
              <w:pStyle w:val="TAC"/>
              <w:rPr>
                <w:rFonts w:eastAsia="Yu Mincho"/>
                <w:snapToGrid w:val="0"/>
              </w:rPr>
            </w:pPr>
            <w:r w:rsidRPr="0045091F">
              <w:rPr>
                <w:rFonts w:eastAsia="Yu Mincho"/>
                <w:snapToGrid w:val="0"/>
              </w:rPr>
              <w:t>48.615</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14:paraId="45D42C82" w14:textId="77777777" w:rsidR="002033E2" w:rsidRPr="0045091F" w:rsidRDefault="002033E2" w:rsidP="00BD541E">
            <w:pPr>
              <w:pStyle w:val="TAC"/>
              <w:rPr>
                <w:rFonts w:eastAsia="Yu Mincho"/>
                <w:snapToGrid w:val="0"/>
              </w:rPr>
            </w:pPr>
            <w:r w:rsidRPr="0045091F">
              <w:rPr>
                <w:rFonts w:eastAsia="Yu Mincho"/>
                <w:snapToGrid w:val="0"/>
              </w:rPr>
              <w:t>58.35</w:t>
            </w:r>
          </w:p>
        </w:tc>
        <w:tc>
          <w:tcPr>
            <w:tcW w:w="620" w:type="dxa"/>
            <w:tcBorders>
              <w:top w:val="single" w:sz="4" w:space="0" w:color="auto"/>
              <w:left w:val="single" w:sz="4" w:space="0" w:color="auto"/>
              <w:bottom w:val="single" w:sz="4" w:space="0" w:color="auto"/>
              <w:right w:val="single" w:sz="4" w:space="0" w:color="auto"/>
            </w:tcBorders>
            <w:vAlign w:val="center"/>
          </w:tcPr>
          <w:p w14:paraId="77BC4C0B" w14:textId="77777777" w:rsidR="002033E2" w:rsidRPr="0045091F" w:rsidRDefault="002033E2" w:rsidP="00BD541E">
            <w:pPr>
              <w:pStyle w:val="TAC"/>
              <w:rPr>
                <w:rFonts w:eastAsia="Yu Mincho"/>
                <w:snapToGrid w:val="0"/>
              </w:rPr>
            </w:pPr>
            <w:r>
              <w:rPr>
                <w:rFonts w:eastAsia="Yu Mincho"/>
                <w:snapToGrid w:val="0"/>
              </w:rPr>
              <w:t>68</w:t>
            </w:r>
            <w:r w:rsidRPr="0045091F">
              <w:rPr>
                <w:rFonts w:eastAsia="Yu Mincho"/>
                <w:snapToGrid w:val="0"/>
              </w:rPr>
              <w:t>.</w:t>
            </w:r>
            <w:r>
              <w:rPr>
                <w:rFonts w:eastAsia="Yu Mincho"/>
                <w:snapToGrid w:val="0"/>
              </w:rPr>
              <w:t>07</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BE3384" w14:textId="77777777" w:rsidR="002033E2" w:rsidRPr="0045091F" w:rsidRDefault="002033E2" w:rsidP="00BD541E">
            <w:pPr>
              <w:pStyle w:val="TAC"/>
              <w:rPr>
                <w:rFonts w:eastAsia="Yu Mincho"/>
                <w:snapToGrid w:val="0"/>
              </w:rPr>
            </w:pPr>
            <w:r w:rsidRPr="0045091F">
              <w:rPr>
                <w:rFonts w:eastAsia="Yu Mincho"/>
                <w:snapToGrid w:val="0"/>
              </w:rPr>
              <w:t>78.15</w:t>
            </w:r>
          </w:p>
        </w:tc>
        <w:tc>
          <w:tcPr>
            <w:tcW w:w="620" w:type="dxa"/>
            <w:tcBorders>
              <w:top w:val="single" w:sz="4" w:space="0" w:color="auto"/>
              <w:left w:val="single" w:sz="4" w:space="0" w:color="auto"/>
              <w:bottom w:val="single" w:sz="4" w:space="0" w:color="auto"/>
              <w:right w:val="single" w:sz="4" w:space="0" w:color="auto"/>
            </w:tcBorders>
            <w:vAlign w:val="center"/>
          </w:tcPr>
          <w:p w14:paraId="54CB099F" w14:textId="77777777" w:rsidR="002033E2" w:rsidRPr="0045091F" w:rsidRDefault="002033E2" w:rsidP="00BD541E">
            <w:pPr>
              <w:pStyle w:val="TAC"/>
              <w:rPr>
                <w:rFonts w:eastAsia="Yu Mincho"/>
                <w:snapToGrid w:val="0"/>
              </w:rPr>
            </w:pPr>
            <w:r w:rsidRPr="0045091F">
              <w:rPr>
                <w:rFonts w:eastAsia="Yu Mincho"/>
                <w:snapToGrid w:val="0"/>
              </w:rPr>
              <w:t>88.23</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CFB39" w14:textId="77777777" w:rsidR="002033E2" w:rsidRPr="0045091F" w:rsidRDefault="002033E2" w:rsidP="00BD541E">
            <w:pPr>
              <w:pStyle w:val="TAC"/>
              <w:rPr>
                <w:rFonts w:eastAsia="Yu Mincho"/>
                <w:snapToGrid w:val="0"/>
              </w:rPr>
            </w:pPr>
            <w:r w:rsidRPr="0045091F">
              <w:rPr>
                <w:rFonts w:eastAsia="Yu Mincho"/>
                <w:snapToGrid w:val="0"/>
              </w:rPr>
              <w:t>98.31</w:t>
            </w:r>
          </w:p>
        </w:tc>
      </w:tr>
    </w:tbl>
    <w:p w14:paraId="45773D9D" w14:textId="77777777" w:rsidR="002033E2" w:rsidRPr="002033E2" w:rsidRDefault="002033E2" w:rsidP="002033E2">
      <w:pPr>
        <w:pStyle w:val="ListParagraph"/>
        <w:rPr>
          <w:lang w:val="en-GB" w:eastAsia="zh-CN"/>
        </w:rPr>
      </w:pPr>
    </w:p>
    <w:p w14:paraId="29186D3C" w14:textId="1147A1C1" w:rsidR="002033E2" w:rsidRPr="002033E2" w:rsidRDefault="0013113D" w:rsidP="002033E2">
      <w:pPr>
        <w:pStyle w:val="Heading2"/>
        <w:spacing w:after="240"/>
        <w:rPr>
          <w:lang w:eastAsia="zh-CN"/>
        </w:rPr>
      </w:pPr>
      <w:r>
        <w:rPr>
          <w:lang w:eastAsia="zh-CN"/>
        </w:rPr>
        <w:t>FR2</w:t>
      </w:r>
      <w:r w:rsidR="002033E2" w:rsidRPr="002033E2">
        <w:rPr>
          <w:lang w:eastAsia="zh-CN"/>
        </w:rPr>
        <w:t xml:space="preserve"> ACLR Measurement Bandwidth</w:t>
      </w:r>
    </w:p>
    <w:p w14:paraId="20ED08F1" w14:textId="025D9C14" w:rsidR="002033E2" w:rsidRDefault="0013113D" w:rsidP="00E32534">
      <w:pPr>
        <w:rPr>
          <w:lang w:val="en-GB" w:eastAsia="zh-CN"/>
        </w:rPr>
      </w:pPr>
      <w:r>
        <w:rPr>
          <w:lang w:val="en-GB" w:eastAsia="zh-CN"/>
        </w:rPr>
        <w:t xml:space="preserve">In FR2, the following items are exactly identical </w:t>
      </w:r>
      <w:r w:rsidR="00C12498">
        <w:rPr>
          <w:lang w:val="en-GB" w:eastAsia="zh-CN"/>
        </w:rPr>
        <w:t>to</w:t>
      </w:r>
      <w:r>
        <w:rPr>
          <w:lang w:val="en-GB" w:eastAsia="zh-CN"/>
        </w:rPr>
        <w:t xml:space="preserve"> FR1:</w:t>
      </w:r>
    </w:p>
    <w:p w14:paraId="7344CFC5" w14:textId="3E221A07" w:rsidR="0013113D" w:rsidRDefault="0013113D" w:rsidP="0013113D">
      <w:pPr>
        <w:pStyle w:val="ListParagraph"/>
        <w:numPr>
          <w:ilvl w:val="0"/>
          <w:numId w:val="29"/>
        </w:numPr>
        <w:jc w:val="both"/>
      </w:pPr>
      <w:r>
        <w:t xml:space="preserve">The </w:t>
      </w:r>
      <w:r w:rsidRPr="00446013">
        <w:t xml:space="preserve">NR Adjacent Channel Leakage </w:t>
      </w:r>
      <w:proofErr w:type="gramStart"/>
      <w:r w:rsidRPr="00446013">
        <w:t>power</w:t>
      </w:r>
      <w:proofErr w:type="gramEnd"/>
      <w:r w:rsidRPr="00446013">
        <w:t xml:space="preserve"> Ratio (NR</w:t>
      </w:r>
      <w:r w:rsidRPr="0013113D">
        <w:rPr>
          <w:vertAlign w:val="subscript"/>
        </w:rPr>
        <w:t>ACLR</w:t>
      </w:r>
      <w:r w:rsidRPr="00446013">
        <w:t>) is</w:t>
      </w:r>
      <w:r>
        <w:t xml:space="preserve"> defined as</w:t>
      </w:r>
      <w:r w:rsidRPr="00446013">
        <w:t xml:space="preserve"> the ratio of the filtered mean power cent</w:t>
      </w:r>
      <w:r w:rsidR="0057008B">
        <w:t>e</w:t>
      </w:r>
      <w:r w:rsidRPr="00446013">
        <w:t>red on the assigned channel frequency to the filtered mean power cent</w:t>
      </w:r>
      <w:r w:rsidR="0057008B">
        <w:t>e</w:t>
      </w:r>
      <w:r w:rsidRPr="00446013">
        <w:t>red on an adjacent channel freque</w:t>
      </w:r>
      <w:r>
        <w:t>ncy at nominal channel spacing.</w:t>
      </w:r>
    </w:p>
    <w:p w14:paraId="7B8F986B" w14:textId="309DE208" w:rsidR="0013113D" w:rsidRDefault="0013113D" w:rsidP="0013113D">
      <w:pPr>
        <w:pStyle w:val="ListParagraph"/>
        <w:numPr>
          <w:ilvl w:val="0"/>
          <w:numId w:val="29"/>
        </w:numPr>
        <w:jc w:val="both"/>
      </w:pPr>
      <w:r>
        <w:rPr>
          <w:lang w:val="en-GB" w:eastAsia="zh-CN"/>
        </w:rPr>
        <w:t>The same MBW is used to measure the wanted channel power and the adjacent channel power,</w:t>
      </w:r>
    </w:p>
    <w:p w14:paraId="68A7E2F7" w14:textId="3D4D4F9E" w:rsidR="0013113D" w:rsidRDefault="0013113D" w:rsidP="0013113D">
      <w:pPr>
        <w:pStyle w:val="ListParagraph"/>
        <w:numPr>
          <w:ilvl w:val="0"/>
          <w:numId w:val="29"/>
        </w:numPr>
        <w:jc w:val="both"/>
      </w:pPr>
      <w:r w:rsidRPr="0013113D">
        <w:t>The minimum guard</w:t>
      </w:r>
      <w:r w:rsidR="0057008B">
        <w:t xml:space="preserve"> </w:t>
      </w:r>
      <w:r w:rsidRPr="0013113D">
        <w:t>bands have been calculated using the following equation: (BW</w:t>
      </w:r>
      <w:r w:rsidR="0057008B">
        <w:t xml:space="preserve"> </w:t>
      </w:r>
      <w:r w:rsidRPr="0013113D">
        <w:t>Channel x 1000 (kHz) - NRB x SCS x 12) / 2 - SCS/2, where NRB are from Table 5.3.2-1.</w:t>
      </w:r>
    </w:p>
    <w:p w14:paraId="2749DFC8" w14:textId="536898BF" w:rsidR="0013113D" w:rsidRDefault="0013113D" w:rsidP="0013113D">
      <w:pPr>
        <w:jc w:val="both"/>
      </w:pPr>
      <w:r>
        <w:t>The differences between FR2 and FR1 are:</w:t>
      </w:r>
    </w:p>
    <w:p w14:paraId="4EFBE026" w14:textId="5C394F01" w:rsidR="0013113D" w:rsidRDefault="0013113D" w:rsidP="0013113D">
      <w:pPr>
        <w:pStyle w:val="ListParagraph"/>
        <w:numPr>
          <w:ilvl w:val="0"/>
          <w:numId w:val="29"/>
        </w:numPr>
        <w:rPr>
          <w:lang w:val="en-GB" w:eastAsia="zh-CN"/>
        </w:rPr>
      </w:pPr>
      <w:r>
        <w:rPr>
          <w:lang w:val="en-GB" w:eastAsia="zh-CN"/>
        </w:rPr>
        <w:t xml:space="preserve">The offset for the adjacent channel MBW </w:t>
      </w:r>
      <w:proofErr w:type="spellStart"/>
      <w:r>
        <w:rPr>
          <w:lang w:val="en-GB" w:eastAsia="zh-CN"/>
        </w:rPr>
        <w:t>cent</w:t>
      </w:r>
      <w:r w:rsidR="0057008B">
        <w:rPr>
          <w:lang w:val="en-GB" w:eastAsia="zh-CN"/>
        </w:rPr>
        <w:t>er</w:t>
      </w:r>
      <w:proofErr w:type="spellEnd"/>
      <w:r>
        <w:rPr>
          <w:lang w:val="en-GB" w:eastAsia="zh-CN"/>
        </w:rPr>
        <w:t xml:space="preserve"> is </w:t>
      </w:r>
      <w:r w:rsidR="0049401B">
        <w:rPr>
          <w:lang w:val="en-GB" w:eastAsia="zh-CN"/>
        </w:rPr>
        <w:t>explicitly</w:t>
      </w:r>
      <w:r>
        <w:rPr>
          <w:lang w:val="en-GB" w:eastAsia="zh-CN"/>
        </w:rPr>
        <w:t xml:space="preserve"> specified in 38.101-2 </w:t>
      </w:r>
      <w:r w:rsidRPr="0013113D">
        <w:rPr>
          <w:lang w:val="en-GB" w:eastAsia="zh-CN"/>
        </w:rPr>
        <w:t>Table 6.5.2.3-1</w:t>
      </w:r>
      <w:r>
        <w:rPr>
          <w:lang w:val="en-GB" w:eastAsia="zh-CN"/>
        </w:rPr>
        <w:t>,</w:t>
      </w:r>
    </w:p>
    <w:p w14:paraId="11463B4F" w14:textId="35722607" w:rsidR="0013113D" w:rsidRDefault="0013113D" w:rsidP="0013113D">
      <w:pPr>
        <w:pStyle w:val="ListParagraph"/>
        <w:numPr>
          <w:ilvl w:val="0"/>
          <w:numId w:val="29"/>
        </w:numPr>
        <w:rPr>
          <w:lang w:val="en-GB" w:eastAsia="zh-CN"/>
        </w:rPr>
      </w:pPr>
      <w:r>
        <w:rPr>
          <w:lang w:val="en-GB" w:eastAsia="zh-CN"/>
        </w:rPr>
        <w:t xml:space="preserve">The ACLR and wanted channel MBW are set equal to the maxTXBW, </w:t>
      </w:r>
      <w:r w:rsidR="00E0195E">
        <w:rPr>
          <w:lang w:val="en-GB" w:eastAsia="zh-CN"/>
        </w:rPr>
        <w:t>i.e.</w:t>
      </w:r>
      <w:r>
        <w:rPr>
          <w:lang w:val="en-GB" w:eastAsia="zh-CN"/>
        </w:rPr>
        <w:t xml:space="preserve">, </w:t>
      </w:r>
      <w:r w:rsidR="00E0195E">
        <w:rPr>
          <w:lang w:val="en-GB" w:eastAsia="zh-CN"/>
        </w:rPr>
        <w:t xml:space="preserve">the </w:t>
      </w:r>
      <w:r>
        <w:rPr>
          <w:lang w:val="en-GB" w:eastAsia="zh-CN"/>
        </w:rPr>
        <w:t>measurement BW might not be always symmetrical.</w:t>
      </w:r>
    </w:p>
    <w:p w14:paraId="155175CE" w14:textId="1BF5E75A" w:rsidR="0049401B" w:rsidRDefault="0049401B" w:rsidP="0049401B">
      <w:pPr>
        <w:pStyle w:val="ListParagraph"/>
        <w:rPr>
          <w:lang w:val="en-GB" w:eastAsia="zh-CN"/>
        </w:rPr>
      </w:pPr>
    </w:p>
    <w:p w14:paraId="64E8C647" w14:textId="2D3A1FD1" w:rsidR="0049401B" w:rsidRPr="00A46819" w:rsidRDefault="0049401B" w:rsidP="0049401B">
      <w:pPr>
        <w:spacing w:after="0"/>
        <w:jc w:val="both"/>
        <w:rPr>
          <w:b/>
        </w:rPr>
      </w:pPr>
      <w:r>
        <w:rPr>
          <w:b/>
        </w:rPr>
        <w:t>Observation 1</w:t>
      </w:r>
      <w:r w:rsidRPr="00A46819">
        <w:rPr>
          <w:b/>
        </w:rPr>
        <w:t>:</w:t>
      </w:r>
      <w:r>
        <w:rPr>
          <w:b/>
        </w:rPr>
        <w:t xml:space="preserve"> MBW in FR2 may not always be symmetrical.</w:t>
      </w:r>
    </w:p>
    <w:p w14:paraId="43B9164D" w14:textId="77777777" w:rsidR="0049401B" w:rsidRDefault="0049401B" w:rsidP="0049401B">
      <w:pPr>
        <w:pStyle w:val="ListParagraph"/>
        <w:rPr>
          <w:lang w:val="en-GB" w:eastAsia="zh-CN"/>
        </w:rPr>
      </w:pPr>
    </w:p>
    <w:p w14:paraId="068D908A" w14:textId="10C3AE1E" w:rsidR="00E32534" w:rsidRDefault="0013113D" w:rsidP="00E32534">
      <w:pPr>
        <w:rPr>
          <w:lang w:val="en-GB" w:eastAsia="zh-CN"/>
        </w:rPr>
      </w:pPr>
      <w:r>
        <w:rPr>
          <w:lang w:val="en-GB" w:eastAsia="zh-CN"/>
        </w:rPr>
        <w:t xml:space="preserve">Similarly to FR1, one sub-carrier is needed to ensure MBW is also symmetrical in FR2 as shown in </w:t>
      </w:r>
      <w:r w:rsidR="002033E2">
        <w:rPr>
          <w:lang w:val="en-GB" w:eastAsia="zh-CN"/>
        </w:rPr>
        <w:fldChar w:fldCharType="begin"/>
      </w:r>
      <w:r w:rsidR="002033E2">
        <w:rPr>
          <w:lang w:val="en-GB" w:eastAsia="zh-CN"/>
        </w:rPr>
        <w:instrText xml:space="preserve"> REF _Ref32576935 \h </w:instrText>
      </w:r>
      <w:r w:rsidR="002033E2">
        <w:rPr>
          <w:lang w:val="en-GB" w:eastAsia="zh-CN"/>
        </w:rPr>
      </w:r>
      <w:r w:rsidR="002033E2">
        <w:rPr>
          <w:lang w:val="en-GB" w:eastAsia="zh-CN"/>
        </w:rPr>
        <w:fldChar w:fldCharType="separate"/>
      </w:r>
      <w:r w:rsidR="002033E2">
        <w:t xml:space="preserve">Figure </w:t>
      </w:r>
      <w:r w:rsidR="002033E2">
        <w:rPr>
          <w:noProof/>
        </w:rPr>
        <w:t>2</w:t>
      </w:r>
      <w:r w:rsidR="002033E2">
        <w:rPr>
          <w:lang w:val="en-GB" w:eastAsia="zh-CN"/>
        </w:rPr>
        <w:fldChar w:fldCharType="end"/>
      </w:r>
      <w:r>
        <w:rPr>
          <w:lang w:val="en-GB" w:eastAsia="zh-CN"/>
        </w:rPr>
        <w:t xml:space="preserve"> below.</w:t>
      </w:r>
    </w:p>
    <w:p w14:paraId="5DDF65C6" w14:textId="0B6520FF" w:rsidR="002033E2" w:rsidRDefault="002033E2" w:rsidP="00E32534">
      <w:pPr>
        <w:rPr>
          <w:lang w:val="en-GB" w:eastAsia="zh-CN"/>
        </w:rPr>
      </w:pPr>
      <w:r w:rsidRPr="002033E2">
        <w:rPr>
          <w:noProof/>
        </w:rPr>
        <w:drawing>
          <wp:inline distT="0" distB="0" distL="0" distR="0" wp14:anchorId="68F50DA9" wp14:editId="39D66317">
            <wp:extent cx="6335395" cy="685850"/>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5395" cy="685850"/>
                    </a:xfrm>
                    <a:prstGeom prst="rect">
                      <a:avLst/>
                    </a:prstGeom>
                    <a:noFill/>
                    <a:ln>
                      <a:noFill/>
                    </a:ln>
                  </pic:spPr>
                </pic:pic>
              </a:graphicData>
            </a:graphic>
          </wp:inline>
        </w:drawing>
      </w:r>
    </w:p>
    <w:p w14:paraId="3D604321" w14:textId="3DFB684D" w:rsidR="002033E2" w:rsidRDefault="002033E2" w:rsidP="002033E2">
      <w:pPr>
        <w:pStyle w:val="Caption"/>
      </w:pPr>
      <w:bookmarkStart w:id="6" w:name="_Ref32576935"/>
      <w:r>
        <w:t xml:space="preserve">Figure </w:t>
      </w:r>
      <w:fldSimple w:instr=" SEQ Figure \* ARABIC ">
        <w:r>
          <w:rPr>
            <w:noProof/>
          </w:rPr>
          <w:t>2</w:t>
        </w:r>
      </w:fldSimple>
      <w:bookmarkEnd w:id="6"/>
      <w:r>
        <w:t xml:space="preserve">: </w:t>
      </w:r>
      <w:r w:rsidRPr="00FB5368">
        <w:t>Addition of one Sub-Carrier to make measurement bandwidth symmetrical in FR2</w:t>
      </w:r>
    </w:p>
    <w:p w14:paraId="70DD1CAC" w14:textId="15D82C84" w:rsidR="0013113D" w:rsidRDefault="009D5CF8" w:rsidP="0013113D">
      <w:pPr>
        <w:rPr>
          <w:lang w:val="en-GB" w:eastAsia="zh-CN"/>
        </w:rPr>
      </w:pPr>
      <w:r>
        <w:rPr>
          <w:lang w:val="en-GB" w:eastAsia="zh-CN"/>
        </w:rPr>
        <w:t xml:space="preserve">Last row of </w:t>
      </w:r>
      <w:r>
        <w:rPr>
          <w:lang w:val="en-GB" w:eastAsia="zh-CN"/>
        </w:rPr>
        <w:fldChar w:fldCharType="begin"/>
      </w:r>
      <w:r>
        <w:rPr>
          <w:lang w:val="en-GB" w:eastAsia="zh-CN"/>
        </w:rPr>
        <w:instrText xml:space="preserve"> REF _Ref32578709 \h </w:instrText>
      </w:r>
      <w:r>
        <w:rPr>
          <w:lang w:val="en-GB" w:eastAsia="zh-CN"/>
        </w:rPr>
      </w:r>
      <w:r>
        <w:rPr>
          <w:lang w:val="en-GB" w:eastAsia="zh-CN"/>
        </w:rPr>
        <w:fldChar w:fldCharType="separate"/>
      </w:r>
      <w:r>
        <w:t xml:space="preserve">Table </w:t>
      </w:r>
      <w:r>
        <w:rPr>
          <w:noProof/>
        </w:rPr>
        <w:t>3</w:t>
      </w:r>
      <w:r>
        <w:rPr>
          <w:lang w:val="en-GB" w:eastAsia="zh-CN"/>
        </w:rPr>
        <w:fldChar w:fldCharType="end"/>
      </w:r>
      <w:r>
        <w:rPr>
          <w:lang w:val="en-GB" w:eastAsia="zh-CN"/>
        </w:rPr>
        <w:t xml:space="preserve"> proposes a symmetrical MBW.</w:t>
      </w:r>
    </w:p>
    <w:p w14:paraId="592A68F5" w14:textId="41D79D31" w:rsidR="0013113D" w:rsidRDefault="0013113D" w:rsidP="0013113D">
      <w:pPr>
        <w:pStyle w:val="Caption"/>
        <w:jc w:val="center"/>
      </w:pPr>
      <w:bookmarkStart w:id="7" w:name="_Ref32578709"/>
      <w:r>
        <w:t xml:space="preserve">Table </w:t>
      </w:r>
      <w:fldSimple w:instr=" SEQ Table \* ARABIC ">
        <w:r w:rsidR="009D5CF8">
          <w:rPr>
            <w:noProof/>
          </w:rPr>
          <w:t>3</w:t>
        </w:r>
      </w:fldSimple>
      <w:bookmarkEnd w:id="7"/>
      <w:r>
        <w:t>: ACLR and wanted signal MBW for FR2 [1]</w:t>
      </w:r>
    </w:p>
    <w:tbl>
      <w:tblPr>
        <w:tblW w:w="6048" w:type="dxa"/>
        <w:jc w:val="center"/>
        <w:tblLayout w:type="fixed"/>
        <w:tblLook w:val="04A0" w:firstRow="1" w:lastRow="0" w:firstColumn="1" w:lastColumn="0" w:noHBand="0" w:noVBand="1"/>
      </w:tblPr>
      <w:tblGrid>
        <w:gridCol w:w="1844"/>
        <w:gridCol w:w="898"/>
        <w:gridCol w:w="754"/>
        <w:gridCol w:w="851"/>
        <w:gridCol w:w="850"/>
        <w:gridCol w:w="851"/>
      </w:tblGrid>
      <w:tr w:rsidR="0013113D" w:rsidRPr="00BD157A" w14:paraId="165A5862" w14:textId="77777777" w:rsidTr="009D5CF8">
        <w:trPr>
          <w:trHeight w:val="240"/>
          <w:jc w:val="center"/>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096787" w14:textId="77777777" w:rsidR="0013113D" w:rsidRPr="00BD157A" w:rsidRDefault="0013113D" w:rsidP="00BD541E">
            <w:pPr>
              <w:overflowPunct/>
              <w:autoSpaceDE/>
              <w:autoSpaceDN/>
              <w:adjustRightInd/>
              <w:spacing w:after="0"/>
              <w:jc w:val="center"/>
              <w:textAlignment w:val="auto"/>
              <w:rPr>
                <w:rFonts w:ascii="Calibri" w:hAnsi="Calibri"/>
                <w:b/>
                <w:bCs/>
                <w:color w:val="000000"/>
                <w:sz w:val="16"/>
                <w:szCs w:val="16"/>
              </w:rPr>
            </w:pPr>
            <w:r w:rsidRPr="00BD157A">
              <w:rPr>
                <w:rFonts w:ascii="Calibri" w:hAnsi="Calibri"/>
                <w:b/>
                <w:bCs/>
                <w:color w:val="000000"/>
                <w:sz w:val="16"/>
                <w:szCs w:val="16"/>
              </w:rPr>
              <w:t>Sub-6GHz</w:t>
            </w:r>
          </w:p>
        </w:tc>
        <w:tc>
          <w:tcPr>
            <w:tcW w:w="898"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42D58ECB" w14:textId="77777777" w:rsidR="0013113D" w:rsidRPr="00BD157A" w:rsidRDefault="0013113D"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SCS [kHz]</w:t>
            </w:r>
          </w:p>
        </w:tc>
        <w:tc>
          <w:tcPr>
            <w:tcW w:w="754" w:type="dxa"/>
            <w:tcBorders>
              <w:top w:val="single" w:sz="4" w:space="0" w:color="auto"/>
              <w:left w:val="nil"/>
              <w:bottom w:val="single" w:sz="4" w:space="0" w:color="auto"/>
              <w:right w:val="single" w:sz="4" w:space="0" w:color="auto"/>
            </w:tcBorders>
            <w:shd w:val="clear" w:color="auto" w:fill="auto"/>
            <w:vAlign w:val="center"/>
            <w:hideMark/>
          </w:tcPr>
          <w:p w14:paraId="15D3D90A" w14:textId="7E008D11" w:rsidR="0013113D" w:rsidRPr="00BD157A" w:rsidRDefault="0013113D"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5</w:t>
            </w:r>
            <w:r>
              <w:rPr>
                <w:rFonts w:ascii="Calibri" w:hAnsi="Calibri"/>
                <w:color w:val="000000"/>
                <w:sz w:val="16"/>
                <w:szCs w:val="16"/>
              </w:rPr>
              <w:t>0</w:t>
            </w:r>
            <w:r w:rsidRPr="00BD157A">
              <w:rPr>
                <w:rFonts w:ascii="Calibri" w:hAnsi="Calibri"/>
                <w:color w:val="000000"/>
                <w:sz w:val="16"/>
                <w:szCs w:val="16"/>
              </w:rPr>
              <w:t>MHz</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B3A1F8F" w14:textId="7630BFE8" w:rsidR="0013113D" w:rsidRPr="00BD157A" w:rsidRDefault="0013113D" w:rsidP="00BD541E">
            <w:pPr>
              <w:overflowPunct/>
              <w:autoSpaceDE/>
              <w:autoSpaceDN/>
              <w:adjustRightInd/>
              <w:spacing w:after="0"/>
              <w:jc w:val="center"/>
              <w:textAlignment w:val="auto"/>
              <w:rPr>
                <w:rFonts w:ascii="Calibri" w:hAnsi="Calibri"/>
                <w:color w:val="000000"/>
                <w:sz w:val="16"/>
                <w:szCs w:val="16"/>
              </w:rPr>
            </w:pPr>
            <w:r w:rsidRPr="00BD157A">
              <w:rPr>
                <w:rFonts w:ascii="Calibri" w:hAnsi="Calibri"/>
                <w:color w:val="000000"/>
                <w:sz w:val="16"/>
                <w:szCs w:val="16"/>
              </w:rPr>
              <w:t>10</w:t>
            </w:r>
            <w:r>
              <w:rPr>
                <w:rFonts w:ascii="Calibri" w:hAnsi="Calibri"/>
                <w:color w:val="000000"/>
                <w:sz w:val="16"/>
                <w:szCs w:val="16"/>
              </w:rPr>
              <w:t>0</w:t>
            </w:r>
            <w:r w:rsidRPr="00BD157A">
              <w:rPr>
                <w:rFonts w:ascii="Calibri" w:hAnsi="Calibri"/>
                <w:color w:val="000000"/>
                <w:sz w:val="16"/>
                <w:szCs w:val="16"/>
              </w:rPr>
              <w:t>MHz</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FD9A35C" w14:textId="43311A40" w:rsidR="0013113D" w:rsidRPr="00BD157A" w:rsidRDefault="0013113D" w:rsidP="00BD541E">
            <w:pPr>
              <w:overflowPunct/>
              <w:autoSpaceDE/>
              <w:autoSpaceDN/>
              <w:adjustRightInd/>
              <w:spacing w:after="0"/>
              <w:jc w:val="center"/>
              <w:textAlignment w:val="auto"/>
              <w:rPr>
                <w:rFonts w:ascii="Calibri" w:hAnsi="Calibri"/>
                <w:color w:val="000000"/>
                <w:sz w:val="16"/>
                <w:szCs w:val="16"/>
              </w:rPr>
            </w:pPr>
            <w:r>
              <w:rPr>
                <w:rFonts w:ascii="Calibri" w:hAnsi="Calibri"/>
                <w:color w:val="000000"/>
                <w:sz w:val="16"/>
                <w:szCs w:val="16"/>
              </w:rPr>
              <w:t>200</w:t>
            </w:r>
            <w:r w:rsidRPr="00BD157A">
              <w:rPr>
                <w:rFonts w:ascii="Calibri" w:hAnsi="Calibri"/>
                <w:color w:val="000000"/>
                <w:sz w:val="16"/>
                <w:szCs w:val="16"/>
              </w:rPr>
              <w:t>MHz</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B5D0EB6" w14:textId="65B0512F" w:rsidR="0013113D" w:rsidRPr="00BD157A" w:rsidRDefault="0013113D" w:rsidP="00BD541E">
            <w:pPr>
              <w:overflowPunct/>
              <w:autoSpaceDE/>
              <w:autoSpaceDN/>
              <w:adjustRightInd/>
              <w:spacing w:after="0"/>
              <w:jc w:val="center"/>
              <w:textAlignment w:val="auto"/>
              <w:rPr>
                <w:rFonts w:ascii="Calibri" w:hAnsi="Calibri"/>
                <w:color w:val="000000"/>
                <w:sz w:val="16"/>
                <w:szCs w:val="16"/>
              </w:rPr>
            </w:pPr>
            <w:r>
              <w:rPr>
                <w:rFonts w:ascii="Calibri" w:hAnsi="Calibri"/>
                <w:color w:val="000000"/>
                <w:sz w:val="16"/>
                <w:szCs w:val="16"/>
              </w:rPr>
              <w:t>40</w:t>
            </w:r>
            <w:r w:rsidRPr="00BD157A">
              <w:rPr>
                <w:rFonts w:ascii="Calibri" w:hAnsi="Calibri"/>
                <w:color w:val="000000"/>
                <w:sz w:val="16"/>
                <w:szCs w:val="16"/>
              </w:rPr>
              <w:t>0MHz</w:t>
            </w:r>
          </w:p>
        </w:tc>
      </w:tr>
      <w:tr w:rsidR="00481E0A" w:rsidRPr="00BD157A" w14:paraId="51930269" w14:textId="77777777" w:rsidTr="009D5CF8">
        <w:trPr>
          <w:trHeight w:val="49"/>
          <w:jc w:val="center"/>
        </w:trPr>
        <w:tc>
          <w:tcPr>
            <w:tcW w:w="1844" w:type="dxa"/>
            <w:tcBorders>
              <w:top w:val="nil"/>
              <w:left w:val="single" w:sz="4" w:space="0" w:color="auto"/>
              <w:bottom w:val="single" w:sz="4" w:space="0" w:color="auto"/>
              <w:right w:val="single" w:sz="4" w:space="0" w:color="auto"/>
            </w:tcBorders>
            <w:shd w:val="clear" w:color="auto" w:fill="auto"/>
            <w:vAlign w:val="center"/>
          </w:tcPr>
          <w:p w14:paraId="4B62BBA5" w14:textId="77777777" w:rsidR="00481E0A" w:rsidRPr="00BD157A" w:rsidRDefault="00481E0A" w:rsidP="00481E0A">
            <w:pPr>
              <w:overflowPunct/>
              <w:autoSpaceDE/>
              <w:autoSpaceDN/>
              <w:adjustRightInd/>
              <w:spacing w:after="0"/>
              <w:textAlignment w:val="auto"/>
              <w:rPr>
                <w:rFonts w:ascii="Calibri" w:hAnsi="Calibri"/>
                <w:color w:val="000000"/>
                <w:sz w:val="16"/>
                <w:szCs w:val="16"/>
              </w:rPr>
            </w:pPr>
          </w:p>
        </w:tc>
        <w:tc>
          <w:tcPr>
            <w:tcW w:w="898" w:type="dxa"/>
            <w:tcBorders>
              <w:top w:val="nil"/>
              <w:left w:val="nil"/>
              <w:bottom w:val="single" w:sz="4" w:space="0" w:color="auto"/>
              <w:right w:val="single" w:sz="4" w:space="0" w:color="auto"/>
            </w:tcBorders>
            <w:shd w:val="clear" w:color="auto" w:fill="auto"/>
            <w:vAlign w:val="center"/>
          </w:tcPr>
          <w:p w14:paraId="25C5851B" w14:textId="70ECD4B0" w:rsidR="00481E0A" w:rsidRDefault="00481E0A" w:rsidP="00481E0A">
            <w:pPr>
              <w:overflowPunct/>
              <w:autoSpaceDE/>
              <w:autoSpaceDN/>
              <w:adjustRightInd/>
              <w:spacing w:after="0"/>
              <w:jc w:val="center"/>
              <w:textAlignment w:val="auto"/>
              <w:rPr>
                <w:rFonts w:ascii="Calibri" w:hAnsi="Calibri"/>
                <w:color w:val="000000"/>
                <w:sz w:val="16"/>
                <w:szCs w:val="16"/>
              </w:rPr>
            </w:pPr>
            <w:r>
              <w:rPr>
                <w:rFonts w:ascii="Calibri" w:hAnsi="Calibri"/>
                <w:color w:val="000000"/>
                <w:sz w:val="16"/>
                <w:szCs w:val="16"/>
              </w:rPr>
              <w:t>60</w:t>
            </w:r>
          </w:p>
        </w:tc>
        <w:tc>
          <w:tcPr>
            <w:tcW w:w="754" w:type="dxa"/>
            <w:tcBorders>
              <w:top w:val="nil"/>
              <w:left w:val="nil"/>
              <w:bottom w:val="single" w:sz="4" w:space="0" w:color="auto"/>
              <w:right w:val="single" w:sz="4" w:space="0" w:color="auto"/>
            </w:tcBorders>
            <w:shd w:val="clear" w:color="auto" w:fill="auto"/>
            <w:noWrap/>
            <w:vAlign w:val="center"/>
          </w:tcPr>
          <w:p w14:paraId="25902052" w14:textId="63FA125C" w:rsidR="00481E0A" w:rsidRDefault="00481E0A" w:rsidP="00481E0A">
            <w:pPr>
              <w:overflowPunct/>
              <w:autoSpaceDE/>
              <w:autoSpaceDN/>
              <w:adjustRightInd/>
              <w:spacing w:after="0"/>
              <w:jc w:val="center"/>
              <w:textAlignment w:val="auto"/>
              <w:rPr>
                <w:rFonts w:ascii="Calibri" w:hAnsi="Calibri"/>
                <w:color w:val="000000"/>
                <w:sz w:val="16"/>
                <w:szCs w:val="16"/>
              </w:rPr>
            </w:pPr>
            <w:r>
              <w:rPr>
                <w:rFonts w:ascii="Calibri" w:hAnsi="Calibri"/>
                <w:color w:val="000000"/>
                <w:sz w:val="16"/>
                <w:szCs w:val="16"/>
              </w:rPr>
              <w:t>66</w:t>
            </w:r>
          </w:p>
        </w:tc>
        <w:tc>
          <w:tcPr>
            <w:tcW w:w="851" w:type="dxa"/>
            <w:tcBorders>
              <w:top w:val="nil"/>
              <w:left w:val="nil"/>
              <w:bottom w:val="single" w:sz="4" w:space="0" w:color="auto"/>
              <w:right w:val="single" w:sz="4" w:space="0" w:color="auto"/>
            </w:tcBorders>
            <w:shd w:val="clear" w:color="auto" w:fill="auto"/>
            <w:noWrap/>
            <w:vAlign w:val="center"/>
          </w:tcPr>
          <w:p w14:paraId="2534B685" w14:textId="37202BAD" w:rsidR="00481E0A" w:rsidRDefault="00481E0A" w:rsidP="00481E0A">
            <w:pPr>
              <w:overflowPunct/>
              <w:autoSpaceDE/>
              <w:autoSpaceDN/>
              <w:adjustRightInd/>
              <w:spacing w:after="0"/>
              <w:jc w:val="center"/>
              <w:textAlignment w:val="auto"/>
              <w:rPr>
                <w:rFonts w:ascii="Calibri" w:hAnsi="Calibri"/>
                <w:color w:val="000000"/>
                <w:sz w:val="16"/>
                <w:szCs w:val="16"/>
              </w:rPr>
            </w:pPr>
            <w:r>
              <w:rPr>
                <w:rFonts w:ascii="Calibri" w:hAnsi="Calibri"/>
                <w:color w:val="000000"/>
                <w:sz w:val="16"/>
                <w:szCs w:val="16"/>
              </w:rPr>
              <w:t>132</w:t>
            </w:r>
          </w:p>
        </w:tc>
        <w:tc>
          <w:tcPr>
            <w:tcW w:w="850" w:type="dxa"/>
            <w:tcBorders>
              <w:top w:val="nil"/>
              <w:left w:val="nil"/>
              <w:bottom w:val="single" w:sz="4" w:space="0" w:color="auto"/>
              <w:right w:val="single" w:sz="4" w:space="0" w:color="auto"/>
            </w:tcBorders>
            <w:shd w:val="clear" w:color="auto" w:fill="auto"/>
            <w:noWrap/>
            <w:vAlign w:val="center"/>
          </w:tcPr>
          <w:p w14:paraId="724ABFCA" w14:textId="780C27D7" w:rsidR="00481E0A" w:rsidRDefault="00481E0A" w:rsidP="00481E0A">
            <w:pPr>
              <w:overflowPunct/>
              <w:autoSpaceDE/>
              <w:autoSpaceDN/>
              <w:adjustRightInd/>
              <w:spacing w:after="0"/>
              <w:jc w:val="center"/>
              <w:textAlignment w:val="auto"/>
              <w:rPr>
                <w:rFonts w:ascii="Calibri" w:hAnsi="Calibri"/>
                <w:color w:val="000000"/>
                <w:sz w:val="16"/>
                <w:szCs w:val="16"/>
              </w:rPr>
            </w:pPr>
            <w:r>
              <w:rPr>
                <w:rFonts w:ascii="Calibri" w:hAnsi="Calibri"/>
                <w:color w:val="000000"/>
                <w:sz w:val="16"/>
                <w:szCs w:val="16"/>
              </w:rPr>
              <w:t>264</w:t>
            </w:r>
          </w:p>
        </w:tc>
        <w:tc>
          <w:tcPr>
            <w:tcW w:w="851" w:type="dxa"/>
            <w:tcBorders>
              <w:top w:val="nil"/>
              <w:left w:val="nil"/>
              <w:bottom w:val="single" w:sz="4" w:space="0" w:color="auto"/>
              <w:right w:val="single" w:sz="4" w:space="0" w:color="auto"/>
            </w:tcBorders>
            <w:shd w:val="clear" w:color="auto" w:fill="auto"/>
            <w:noWrap/>
            <w:vAlign w:val="center"/>
          </w:tcPr>
          <w:p w14:paraId="38ACA06B" w14:textId="22B19E80" w:rsidR="00481E0A" w:rsidRDefault="00481E0A" w:rsidP="00481E0A">
            <w:pPr>
              <w:overflowPunct/>
              <w:autoSpaceDE/>
              <w:autoSpaceDN/>
              <w:adjustRightInd/>
              <w:spacing w:after="0"/>
              <w:jc w:val="center"/>
              <w:textAlignment w:val="auto"/>
              <w:rPr>
                <w:rFonts w:ascii="Calibri" w:hAnsi="Calibri"/>
                <w:color w:val="000000"/>
                <w:sz w:val="16"/>
                <w:szCs w:val="16"/>
              </w:rPr>
            </w:pPr>
            <w:r>
              <w:rPr>
                <w:rFonts w:ascii="Calibri" w:hAnsi="Calibri"/>
                <w:color w:val="000000"/>
                <w:sz w:val="16"/>
                <w:szCs w:val="16"/>
              </w:rPr>
              <w:t>n-a</w:t>
            </w:r>
          </w:p>
        </w:tc>
      </w:tr>
      <w:tr w:rsidR="00481E0A" w:rsidRPr="00BD157A" w14:paraId="335F7BFF" w14:textId="77777777" w:rsidTr="009D5CF8">
        <w:trPr>
          <w:trHeight w:val="49"/>
          <w:jc w:val="center"/>
        </w:trPr>
        <w:tc>
          <w:tcPr>
            <w:tcW w:w="1844" w:type="dxa"/>
            <w:tcBorders>
              <w:top w:val="nil"/>
              <w:left w:val="single" w:sz="4" w:space="0" w:color="auto"/>
              <w:bottom w:val="single" w:sz="4" w:space="0" w:color="auto"/>
              <w:right w:val="single" w:sz="4" w:space="0" w:color="auto"/>
            </w:tcBorders>
            <w:shd w:val="clear" w:color="auto" w:fill="auto"/>
            <w:vAlign w:val="center"/>
          </w:tcPr>
          <w:p w14:paraId="09A6CE9C" w14:textId="77777777" w:rsidR="00481E0A" w:rsidRPr="00BD157A" w:rsidRDefault="00481E0A" w:rsidP="00481E0A">
            <w:pPr>
              <w:overflowPunct/>
              <w:autoSpaceDE/>
              <w:autoSpaceDN/>
              <w:adjustRightInd/>
              <w:spacing w:after="0"/>
              <w:textAlignment w:val="auto"/>
              <w:rPr>
                <w:rFonts w:ascii="Calibri" w:hAnsi="Calibri"/>
                <w:color w:val="000000"/>
                <w:sz w:val="16"/>
                <w:szCs w:val="16"/>
              </w:rPr>
            </w:pPr>
          </w:p>
        </w:tc>
        <w:tc>
          <w:tcPr>
            <w:tcW w:w="898" w:type="dxa"/>
            <w:tcBorders>
              <w:top w:val="nil"/>
              <w:left w:val="nil"/>
              <w:bottom w:val="single" w:sz="4" w:space="0" w:color="auto"/>
              <w:right w:val="single" w:sz="4" w:space="0" w:color="auto"/>
            </w:tcBorders>
            <w:shd w:val="clear" w:color="auto" w:fill="auto"/>
            <w:vAlign w:val="center"/>
          </w:tcPr>
          <w:p w14:paraId="5F50F4B6" w14:textId="48A85C46" w:rsidR="00481E0A" w:rsidRDefault="00481E0A" w:rsidP="00481E0A">
            <w:pPr>
              <w:overflowPunct/>
              <w:autoSpaceDE/>
              <w:autoSpaceDN/>
              <w:adjustRightInd/>
              <w:spacing w:after="0"/>
              <w:jc w:val="center"/>
              <w:textAlignment w:val="auto"/>
              <w:rPr>
                <w:rFonts w:ascii="Calibri" w:hAnsi="Calibri"/>
                <w:color w:val="000000"/>
                <w:sz w:val="16"/>
                <w:szCs w:val="16"/>
              </w:rPr>
            </w:pPr>
            <w:r>
              <w:rPr>
                <w:rFonts w:ascii="Calibri" w:hAnsi="Calibri"/>
                <w:color w:val="000000"/>
                <w:sz w:val="16"/>
                <w:szCs w:val="16"/>
              </w:rPr>
              <w:t>120</w:t>
            </w:r>
          </w:p>
        </w:tc>
        <w:tc>
          <w:tcPr>
            <w:tcW w:w="754" w:type="dxa"/>
            <w:tcBorders>
              <w:top w:val="nil"/>
              <w:left w:val="nil"/>
              <w:bottom w:val="single" w:sz="4" w:space="0" w:color="auto"/>
              <w:right w:val="single" w:sz="4" w:space="0" w:color="auto"/>
            </w:tcBorders>
            <w:shd w:val="clear" w:color="auto" w:fill="auto"/>
            <w:noWrap/>
            <w:vAlign w:val="center"/>
          </w:tcPr>
          <w:p w14:paraId="3FC8D33E" w14:textId="19B7406E" w:rsidR="00481E0A" w:rsidRDefault="00481E0A" w:rsidP="00481E0A">
            <w:pPr>
              <w:overflowPunct/>
              <w:autoSpaceDE/>
              <w:autoSpaceDN/>
              <w:adjustRightInd/>
              <w:spacing w:after="0"/>
              <w:jc w:val="center"/>
              <w:textAlignment w:val="auto"/>
              <w:rPr>
                <w:rFonts w:ascii="Calibri" w:hAnsi="Calibri"/>
                <w:color w:val="000000"/>
                <w:sz w:val="16"/>
                <w:szCs w:val="16"/>
              </w:rPr>
            </w:pPr>
            <w:r>
              <w:rPr>
                <w:rFonts w:ascii="Calibri" w:hAnsi="Calibri"/>
                <w:color w:val="000000"/>
                <w:sz w:val="16"/>
                <w:szCs w:val="16"/>
              </w:rPr>
              <w:t>32</w:t>
            </w:r>
          </w:p>
        </w:tc>
        <w:tc>
          <w:tcPr>
            <w:tcW w:w="851" w:type="dxa"/>
            <w:tcBorders>
              <w:top w:val="nil"/>
              <w:left w:val="nil"/>
              <w:bottom w:val="single" w:sz="4" w:space="0" w:color="auto"/>
              <w:right w:val="single" w:sz="4" w:space="0" w:color="auto"/>
            </w:tcBorders>
            <w:shd w:val="clear" w:color="auto" w:fill="auto"/>
            <w:noWrap/>
            <w:vAlign w:val="center"/>
          </w:tcPr>
          <w:p w14:paraId="165CC54C" w14:textId="1F1A0A8D" w:rsidR="00481E0A" w:rsidRDefault="00481E0A" w:rsidP="00481E0A">
            <w:pPr>
              <w:overflowPunct/>
              <w:autoSpaceDE/>
              <w:autoSpaceDN/>
              <w:adjustRightInd/>
              <w:spacing w:after="0"/>
              <w:jc w:val="center"/>
              <w:textAlignment w:val="auto"/>
              <w:rPr>
                <w:rFonts w:ascii="Calibri" w:hAnsi="Calibri"/>
                <w:color w:val="000000"/>
                <w:sz w:val="16"/>
                <w:szCs w:val="16"/>
              </w:rPr>
            </w:pPr>
            <w:r>
              <w:rPr>
                <w:rFonts w:ascii="Calibri" w:hAnsi="Calibri"/>
                <w:color w:val="000000"/>
                <w:sz w:val="16"/>
                <w:szCs w:val="16"/>
              </w:rPr>
              <w:t>66</w:t>
            </w:r>
          </w:p>
        </w:tc>
        <w:tc>
          <w:tcPr>
            <w:tcW w:w="850" w:type="dxa"/>
            <w:tcBorders>
              <w:top w:val="nil"/>
              <w:left w:val="nil"/>
              <w:bottom w:val="single" w:sz="4" w:space="0" w:color="auto"/>
              <w:right w:val="single" w:sz="4" w:space="0" w:color="auto"/>
            </w:tcBorders>
            <w:shd w:val="clear" w:color="auto" w:fill="auto"/>
            <w:noWrap/>
            <w:vAlign w:val="center"/>
          </w:tcPr>
          <w:p w14:paraId="0009AAF0" w14:textId="2C7F0C47" w:rsidR="00481E0A" w:rsidRDefault="00481E0A" w:rsidP="00481E0A">
            <w:pPr>
              <w:overflowPunct/>
              <w:autoSpaceDE/>
              <w:autoSpaceDN/>
              <w:adjustRightInd/>
              <w:spacing w:after="0"/>
              <w:jc w:val="center"/>
              <w:textAlignment w:val="auto"/>
              <w:rPr>
                <w:rFonts w:ascii="Calibri" w:hAnsi="Calibri"/>
                <w:color w:val="000000"/>
                <w:sz w:val="16"/>
                <w:szCs w:val="16"/>
              </w:rPr>
            </w:pPr>
            <w:r>
              <w:rPr>
                <w:rFonts w:ascii="Calibri" w:hAnsi="Calibri"/>
                <w:color w:val="000000"/>
                <w:sz w:val="16"/>
                <w:szCs w:val="16"/>
              </w:rPr>
              <w:t>132</w:t>
            </w:r>
          </w:p>
        </w:tc>
        <w:tc>
          <w:tcPr>
            <w:tcW w:w="851" w:type="dxa"/>
            <w:tcBorders>
              <w:top w:val="nil"/>
              <w:left w:val="nil"/>
              <w:bottom w:val="single" w:sz="4" w:space="0" w:color="auto"/>
              <w:right w:val="single" w:sz="4" w:space="0" w:color="auto"/>
            </w:tcBorders>
            <w:shd w:val="clear" w:color="auto" w:fill="auto"/>
            <w:noWrap/>
            <w:vAlign w:val="center"/>
          </w:tcPr>
          <w:p w14:paraId="0DEF60C1" w14:textId="7AED2ABD" w:rsidR="00481E0A" w:rsidRDefault="00481E0A" w:rsidP="00481E0A">
            <w:pPr>
              <w:overflowPunct/>
              <w:autoSpaceDE/>
              <w:autoSpaceDN/>
              <w:adjustRightInd/>
              <w:spacing w:after="0"/>
              <w:jc w:val="center"/>
              <w:textAlignment w:val="auto"/>
              <w:rPr>
                <w:rFonts w:ascii="Calibri" w:hAnsi="Calibri"/>
                <w:color w:val="000000"/>
                <w:sz w:val="16"/>
                <w:szCs w:val="16"/>
              </w:rPr>
            </w:pPr>
            <w:r>
              <w:rPr>
                <w:rFonts w:ascii="Calibri" w:hAnsi="Calibri"/>
                <w:color w:val="000000"/>
                <w:sz w:val="16"/>
                <w:szCs w:val="16"/>
              </w:rPr>
              <w:t>264</w:t>
            </w:r>
          </w:p>
        </w:tc>
      </w:tr>
      <w:tr w:rsidR="00481E0A" w:rsidRPr="00BD157A" w14:paraId="076CC935" w14:textId="77777777" w:rsidTr="009D5CF8">
        <w:trPr>
          <w:trHeight w:val="49"/>
          <w:jc w:val="center"/>
        </w:trPr>
        <w:tc>
          <w:tcPr>
            <w:tcW w:w="1844" w:type="dxa"/>
            <w:vMerge w:val="restart"/>
            <w:tcBorders>
              <w:top w:val="nil"/>
              <w:left w:val="single" w:sz="4" w:space="0" w:color="auto"/>
              <w:bottom w:val="single" w:sz="4" w:space="0" w:color="auto"/>
              <w:right w:val="single" w:sz="4" w:space="0" w:color="auto"/>
            </w:tcBorders>
            <w:shd w:val="clear" w:color="auto" w:fill="auto"/>
            <w:vAlign w:val="center"/>
            <w:hideMark/>
          </w:tcPr>
          <w:p w14:paraId="22FD57B5" w14:textId="77777777" w:rsidR="00481E0A" w:rsidRPr="00BD157A" w:rsidRDefault="00481E0A" w:rsidP="00481E0A">
            <w:pPr>
              <w:overflowPunct/>
              <w:autoSpaceDE/>
              <w:autoSpaceDN/>
              <w:adjustRightInd/>
              <w:spacing w:after="0"/>
              <w:textAlignment w:val="auto"/>
              <w:rPr>
                <w:rFonts w:ascii="Calibri" w:hAnsi="Calibri"/>
                <w:color w:val="000000"/>
                <w:sz w:val="16"/>
                <w:szCs w:val="16"/>
              </w:rPr>
            </w:pPr>
            <w:r w:rsidRPr="00BD157A">
              <w:rPr>
                <w:rFonts w:ascii="Calibri" w:hAnsi="Calibri"/>
                <w:color w:val="000000"/>
                <w:sz w:val="16"/>
                <w:szCs w:val="16"/>
              </w:rPr>
              <w:t>TXBW</w:t>
            </w:r>
            <w:r w:rsidRPr="00BD157A">
              <w:rPr>
                <w:rFonts w:ascii="Calibri" w:hAnsi="Calibri"/>
                <w:color w:val="000000"/>
                <w:sz w:val="16"/>
                <w:szCs w:val="16"/>
              </w:rPr>
              <w:br/>
              <w:t>[MHz]</w:t>
            </w:r>
          </w:p>
        </w:tc>
        <w:tc>
          <w:tcPr>
            <w:tcW w:w="898" w:type="dxa"/>
            <w:tcBorders>
              <w:top w:val="nil"/>
              <w:left w:val="nil"/>
              <w:bottom w:val="single" w:sz="4" w:space="0" w:color="auto"/>
              <w:right w:val="single" w:sz="4" w:space="0" w:color="auto"/>
            </w:tcBorders>
            <w:shd w:val="clear" w:color="auto" w:fill="auto"/>
            <w:vAlign w:val="center"/>
            <w:hideMark/>
          </w:tcPr>
          <w:p w14:paraId="6C1A85C1" w14:textId="375DDA90" w:rsidR="00481E0A" w:rsidRPr="00BD157A" w:rsidRDefault="00481E0A" w:rsidP="00481E0A">
            <w:pPr>
              <w:overflowPunct/>
              <w:autoSpaceDE/>
              <w:autoSpaceDN/>
              <w:adjustRightInd/>
              <w:spacing w:after="0"/>
              <w:jc w:val="center"/>
              <w:textAlignment w:val="auto"/>
              <w:rPr>
                <w:rFonts w:ascii="Calibri" w:hAnsi="Calibri"/>
                <w:color w:val="000000"/>
                <w:sz w:val="16"/>
                <w:szCs w:val="16"/>
              </w:rPr>
            </w:pPr>
            <w:r>
              <w:rPr>
                <w:rFonts w:ascii="Calibri" w:hAnsi="Calibri"/>
                <w:color w:val="000000"/>
                <w:sz w:val="16"/>
                <w:szCs w:val="16"/>
              </w:rPr>
              <w:t>60</w:t>
            </w:r>
          </w:p>
        </w:tc>
        <w:tc>
          <w:tcPr>
            <w:tcW w:w="754" w:type="dxa"/>
            <w:tcBorders>
              <w:top w:val="nil"/>
              <w:left w:val="nil"/>
              <w:bottom w:val="single" w:sz="4" w:space="0" w:color="auto"/>
              <w:right w:val="single" w:sz="4" w:space="0" w:color="auto"/>
            </w:tcBorders>
            <w:shd w:val="clear" w:color="auto" w:fill="FFFF00"/>
            <w:noWrap/>
            <w:vAlign w:val="center"/>
            <w:hideMark/>
          </w:tcPr>
          <w:p w14:paraId="508A367F" w14:textId="6145AD45" w:rsidR="00481E0A" w:rsidRPr="00BD157A" w:rsidRDefault="00481E0A" w:rsidP="00481E0A">
            <w:pPr>
              <w:overflowPunct/>
              <w:autoSpaceDE/>
              <w:autoSpaceDN/>
              <w:adjustRightInd/>
              <w:spacing w:after="0"/>
              <w:jc w:val="center"/>
              <w:textAlignment w:val="auto"/>
              <w:rPr>
                <w:rFonts w:ascii="Calibri" w:hAnsi="Calibri"/>
                <w:color w:val="000000"/>
                <w:sz w:val="16"/>
                <w:szCs w:val="16"/>
              </w:rPr>
            </w:pPr>
            <w:r>
              <w:rPr>
                <w:rFonts w:ascii="Calibri" w:hAnsi="Calibri"/>
                <w:color w:val="000000"/>
                <w:sz w:val="16"/>
                <w:szCs w:val="16"/>
              </w:rPr>
              <w:t>47.52</w:t>
            </w:r>
          </w:p>
        </w:tc>
        <w:tc>
          <w:tcPr>
            <w:tcW w:w="851" w:type="dxa"/>
            <w:tcBorders>
              <w:top w:val="nil"/>
              <w:left w:val="nil"/>
              <w:bottom w:val="single" w:sz="4" w:space="0" w:color="auto"/>
              <w:right w:val="single" w:sz="4" w:space="0" w:color="auto"/>
            </w:tcBorders>
            <w:shd w:val="clear" w:color="auto" w:fill="auto"/>
            <w:noWrap/>
            <w:vAlign w:val="center"/>
            <w:hideMark/>
          </w:tcPr>
          <w:p w14:paraId="615989DD" w14:textId="15C7D43C" w:rsidR="00481E0A" w:rsidRPr="00BD157A" w:rsidRDefault="00481E0A" w:rsidP="00481E0A">
            <w:pPr>
              <w:overflowPunct/>
              <w:autoSpaceDE/>
              <w:autoSpaceDN/>
              <w:adjustRightInd/>
              <w:spacing w:after="0"/>
              <w:jc w:val="center"/>
              <w:textAlignment w:val="auto"/>
              <w:rPr>
                <w:rFonts w:ascii="Calibri" w:hAnsi="Calibri"/>
                <w:color w:val="000000"/>
                <w:sz w:val="16"/>
                <w:szCs w:val="16"/>
              </w:rPr>
            </w:pPr>
            <w:r>
              <w:rPr>
                <w:rFonts w:ascii="Calibri" w:hAnsi="Calibri"/>
                <w:color w:val="000000"/>
                <w:sz w:val="16"/>
                <w:szCs w:val="16"/>
              </w:rPr>
              <w:t>95.04</w:t>
            </w:r>
          </w:p>
        </w:tc>
        <w:tc>
          <w:tcPr>
            <w:tcW w:w="850" w:type="dxa"/>
            <w:tcBorders>
              <w:top w:val="nil"/>
              <w:left w:val="nil"/>
              <w:bottom w:val="single" w:sz="4" w:space="0" w:color="auto"/>
              <w:right w:val="single" w:sz="4" w:space="0" w:color="auto"/>
            </w:tcBorders>
            <w:shd w:val="clear" w:color="auto" w:fill="auto"/>
            <w:noWrap/>
            <w:vAlign w:val="center"/>
            <w:hideMark/>
          </w:tcPr>
          <w:p w14:paraId="430ADA6C" w14:textId="107AEDD9" w:rsidR="00481E0A" w:rsidRPr="00BD157A" w:rsidRDefault="00481E0A" w:rsidP="00481E0A">
            <w:pPr>
              <w:overflowPunct/>
              <w:autoSpaceDE/>
              <w:autoSpaceDN/>
              <w:adjustRightInd/>
              <w:spacing w:after="0"/>
              <w:jc w:val="center"/>
              <w:textAlignment w:val="auto"/>
              <w:rPr>
                <w:rFonts w:ascii="Calibri" w:hAnsi="Calibri"/>
                <w:color w:val="000000"/>
                <w:sz w:val="16"/>
                <w:szCs w:val="16"/>
              </w:rPr>
            </w:pPr>
            <w:r>
              <w:rPr>
                <w:rFonts w:ascii="Calibri" w:hAnsi="Calibri"/>
                <w:color w:val="000000"/>
                <w:sz w:val="16"/>
                <w:szCs w:val="16"/>
              </w:rPr>
              <w:t>190.08</w:t>
            </w:r>
          </w:p>
        </w:tc>
        <w:tc>
          <w:tcPr>
            <w:tcW w:w="851" w:type="dxa"/>
            <w:tcBorders>
              <w:top w:val="nil"/>
              <w:left w:val="nil"/>
              <w:bottom w:val="single" w:sz="4" w:space="0" w:color="auto"/>
              <w:right w:val="single" w:sz="4" w:space="0" w:color="auto"/>
            </w:tcBorders>
            <w:shd w:val="clear" w:color="auto" w:fill="auto"/>
            <w:noWrap/>
            <w:vAlign w:val="center"/>
            <w:hideMark/>
          </w:tcPr>
          <w:p w14:paraId="126A33BC" w14:textId="5CCD1241" w:rsidR="00481E0A" w:rsidRPr="00BD157A" w:rsidRDefault="00481E0A" w:rsidP="00481E0A">
            <w:pPr>
              <w:overflowPunct/>
              <w:autoSpaceDE/>
              <w:autoSpaceDN/>
              <w:adjustRightInd/>
              <w:spacing w:after="0"/>
              <w:jc w:val="center"/>
              <w:textAlignment w:val="auto"/>
              <w:rPr>
                <w:rFonts w:ascii="Calibri" w:hAnsi="Calibri"/>
                <w:color w:val="000000"/>
                <w:sz w:val="16"/>
                <w:szCs w:val="16"/>
              </w:rPr>
            </w:pPr>
            <w:r>
              <w:rPr>
                <w:rFonts w:ascii="Calibri" w:hAnsi="Calibri"/>
                <w:color w:val="000000"/>
                <w:sz w:val="16"/>
                <w:szCs w:val="16"/>
              </w:rPr>
              <w:t>n-a</w:t>
            </w:r>
          </w:p>
        </w:tc>
      </w:tr>
      <w:tr w:rsidR="00481E0A" w:rsidRPr="00BD157A" w14:paraId="6BFD6F38" w14:textId="77777777" w:rsidTr="009D5CF8">
        <w:trPr>
          <w:trHeight w:val="49"/>
          <w:jc w:val="center"/>
        </w:trPr>
        <w:tc>
          <w:tcPr>
            <w:tcW w:w="1844" w:type="dxa"/>
            <w:vMerge/>
            <w:tcBorders>
              <w:top w:val="nil"/>
              <w:left w:val="single" w:sz="4" w:space="0" w:color="auto"/>
              <w:bottom w:val="single" w:sz="4" w:space="0" w:color="auto"/>
              <w:right w:val="single" w:sz="4" w:space="0" w:color="auto"/>
            </w:tcBorders>
            <w:vAlign w:val="center"/>
            <w:hideMark/>
          </w:tcPr>
          <w:p w14:paraId="736FA65B" w14:textId="77777777" w:rsidR="00481E0A" w:rsidRPr="00BD157A" w:rsidRDefault="00481E0A" w:rsidP="00481E0A">
            <w:pPr>
              <w:overflowPunct/>
              <w:autoSpaceDE/>
              <w:autoSpaceDN/>
              <w:adjustRightInd/>
              <w:spacing w:after="0"/>
              <w:textAlignment w:val="auto"/>
              <w:rPr>
                <w:rFonts w:ascii="Calibri" w:hAnsi="Calibri"/>
                <w:color w:val="000000"/>
                <w:sz w:val="16"/>
                <w:szCs w:val="16"/>
              </w:rPr>
            </w:pPr>
          </w:p>
        </w:tc>
        <w:tc>
          <w:tcPr>
            <w:tcW w:w="898" w:type="dxa"/>
            <w:tcBorders>
              <w:top w:val="nil"/>
              <w:left w:val="nil"/>
              <w:bottom w:val="single" w:sz="4" w:space="0" w:color="auto"/>
              <w:right w:val="single" w:sz="4" w:space="0" w:color="auto"/>
            </w:tcBorders>
            <w:shd w:val="clear" w:color="auto" w:fill="auto"/>
            <w:vAlign w:val="center"/>
            <w:hideMark/>
          </w:tcPr>
          <w:p w14:paraId="1D4DE26D" w14:textId="7B63FB50" w:rsidR="00481E0A" w:rsidRPr="00BD157A" w:rsidRDefault="00481E0A" w:rsidP="00481E0A">
            <w:pPr>
              <w:overflowPunct/>
              <w:autoSpaceDE/>
              <w:autoSpaceDN/>
              <w:adjustRightInd/>
              <w:spacing w:after="0"/>
              <w:jc w:val="center"/>
              <w:textAlignment w:val="auto"/>
              <w:rPr>
                <w:rFonts w:ascii="Calibri" w:hAnsi="Calibri"/>
                <w:color w:val="000000"/>
                <w:sz w:val="16"/>
                <w:szCs w:val="16"/>
              </w:rPr>
            </w:pPr>
            <w:r>
              <w:rPr>
                <w:rFonts w:ascii="Calibri" w:hAnsi="Calibri"/>
                <w:color w:val="000000"/>
                <w:sz w:val="16"/>
                <w:szCs w:val="16"/>
              </w:rPr>
              <w:t>120</w:t>
            </w:r>
          </w:p>
        </w:tc>
        <w:tc>
          <w:tcPr>
            <w:tcW w:w="754" w:type="dxa"/>
            <w:tcBorders>
              <w:top w:val="nil"/>
              <w:left w:val="nil"/>
              <w:bottom w:val="single" w:sz="4" w:space="0" w:color="auto"/>
              <w:right w:val="single" w:sz="4" w:space="0" w:color="auto"/>
            </w:tcBorders>
            <w:shd w:val="clear" w:color="auto" w:fill="auto"/>
            <w:noWrap/>
            <w:vAlign w:val="center"/>
            <w:hideMark/>
          </w:tcPr>
          <w:p w14:paraId="4FF442B1" w14:textId="1D006FC6" w:rsidR="00481E0A" w:rsidRPr="00BD157A" w:rsidRDefault="00481E0A" w:rsidP="00481E0A">
            <w:pPr>
              <w:overflowPunct/>
              <w:autoSpaceDE/>
              <w:autoSpaceDN/>
              <w:adjustRightInd/>
              <w:spacing w:after="0"/>
              <w:jc w:val="center"/>
              <w:textAlignment w:val="auto"/>
              <w:rPr>
                <w:rFonts w:ascii="Calibri" w:hAnsi="Calibri"/>
                <w:color w:val="000000"/>
                <w:sz w:val="16"/>
                <w:szCs w:val="16"/>
              </w:rPr>
            </w:pPr>
            <w:r>
              <w:rPr>
                <w:rFonts w:ascii="Calibri" w:hAnsi="Calibri"/>
                <w:color w:val="000000"/>
                <w:sz w:val="16"/>
                <w:szCs w:val="16"/>
              </w:rPr>
              <w:t>46.08</w:t>
            </w:r>
          </w:p>
        </w:tc>
        <w:tc>
          <w:tcPr>
            <w:tcW w:w="851" w:type="dxa"/>
            <w:tcBorders>
              <w:top w:val="nil"/>
              <w:left w:val="nil"/>
              <w:bottom w:val="single" w:sz="4" w:space="0" w:color="auto"/>
              <w:right w:val="single" w:sz="4" w:space="0" w:color="auto"/>
            </w:tcBorders>
            <w:shd w:val="clear" w:color="auto" w:fill="FFFF00"/>
            <w:noWrap/>
            <w:vAlign w:val="center"/>
            <w:hideMark/>
          </w:tcPr>
          <w:p w14:paraId="68AF6AFF" w14:textId="2B267071" w:rsidR="00481E0A" w:rsidRPr="00BD157A" w:rsidRDefault="00481E0A" w:rsidP="00481E0A">
            <w:pPr>
              <w:overflowPunct/>
              <w:autoSpaceDE/>
              <w:autoSpaceDN/>
              <w:adjustRightInd/>
              <w:spacing w:after="0"/>
              <w:jc w:val="center"/>
              <w:textAlignment w:val="auto"/>
              <w:rPr>
                <w:rFonts w:ascii="Calibri" w:hAnsi="Calibri"/>
                <w:color w:val="000000"/>
                <w:sz w:val="16"/>
                <w:szCs w:val="16"/>
              </w:rPr>
            </w:pPr>
            <w:r>
              <w:rPr>
                <w:rFonts w:ascii="Calibri" w:hAnsi="Calibri"/>
                <w:color w:val="000000"/>
                <w:sz w:val="16"/>
                <w:szCs w:val="16"/>
              </w:rPr>
              <w:t>95.04</w:t>
            </w:r>
          </w:p>
        </w:tc>
        <w:tc>
          <w:tcPr>
            <w:tcW w:w="850" w:type="dxa"/>
            <w:tcBorders>
              <w:top w:val="nil"/>
              <w:left w:val="nil"/>
              <w:bottom w:val="single" w:sz="4" w:space="0" w:color="auto"/>
              <w:right w:val="single" w:sz="4" w:space="0" w:color="auto"/>
            </w:tcBorders>
            <w:shd w:val="clear" w:color="auto" w:fill="FFFF00"/>
            <w:noWrap/>
            <w:vAlign w:val="center"/>
            <w:hideMark/>
          </w:tcPr>
          <w:p w14:paraId="2CA8ABA7" w14:textId="4BC34271" w:rsidR="00481E0A" w:rsidRPr="00BD157A" w:rsidRDefault="00481E0A" w:rsidP="00481E0A">
            <w:pPr>
              <w:overflowPunct/>
              <w:autoSpaceDE/>
              <w:autoSpaceDN/>
              <w:adjustRightInd/>
              <w:spacing w:after="0"/>
              <w:jc w:val="center"/>
              <w:textAlignment w:val="auto"/>
              <w:rPr>
                <w:rFonts w:ascii="Calibri" w:hAnsi="Calibri"/>
                <w:color w:val="000000"/>
                <w:sz w:val="16"/>
                <w:szCs w:val="16"/>
              </w:rPr>
            </w:pPr>
            <w:r>
              <w:rPr>
                <w:rFonts w:ascii="Calibri" w:hAnsi="Calibri"/>
                <w:color w:val="000000"/>
                <w:sz w:val="16"/>
                <w:szCs w:val="16"/>
              </w:rPr>
              <w:t>190.08</w:t>
            </w:r>
          </w:p>
        </w:tc>
        <w:tc>
          <w:tcPr>
            <w:tcW w:w="851" w:type="dxa"/>
            <w:tcBorders>
              <w:top w:val="nil"/>
              <w:left w:val="nil"/>
              <w:bottom w:val="single" w:sz="4" w:space="0" w:color="auto"/>
              <w:right w:val="single" w:sz="4" w:space="0" w:color="auto"/>
            </w:tcBorders>
            <w:shd w:val="clear" w:color="auto" w:fill="FFFF00"/>
            <w:noWrap/>
            <w:vAlign w:val="center"/>
            <w:hideMark/>
          </w:tcPr>
          <w:p w14:paraId="5DCDF88A" w14:textId="1646E84D" w:rsidR="00481E0A" w:rsidRPr="00BD157A" w:rsidRDefault="00481E0A" w:rsidP="00481E0A">
            <w:pPr>
              <w:overflowPunct/>
              <w:autoSpaceDE/>
              <w:autoSpaceDN/>
              <w:adjustRightInd/>
              <w:spacing w:after="0"/>
              <w:jc w:val="center"/>
              <w:textAlignment w:val="auto"/>
              <w:rPr>
                <w:rFonts w:ascii="Calibri" w:hAnsi="Calibri"/>
                <w:color w:val="000000"/>
                <w:sz w:val="16"/>
                <w:szCs w:val="16"/>
              </w:rPr>
            </w:pPr>
            <w:r>
              <w:rPr>
                <w:rFonts w:ascii="Calibri" w:hAnsi="Calibri"/>
                <w:color w:val="000000"/>
                <w:sz w:val="16"/>
                <w:szCs w:val="16"/>
              </w:rPr>
              <w:t>380.16</w:t>
            </w:r>
          </w:p>
        </w:tc>
      </w:tr>
      <w:tr w:rsidR="00481E0A" w:rsidRPr="00BD157A" w14:paraId="1DAE3FDE" w14:textId="77777777" w:rsidTr="009D5CF8">
        <w:trPr>
          <w:trHeight w:val="49"/>
          <w:jc w:val="center"/>
        </w:trPr>
        <w:tc>
          <w:tcPr>
            <w:tcW w:w="1844" w:type="dxa"/>
            <w:tcBorders>
              <w:top w:val="nil"/>
              <w:left w:val="single" w:sz="4" w:space="0" w:color="auto"/>
              <w:bottom w:val="single" w:sz="4" w:space="0" w:color="auto"/>
              <w:right w:val="single" w:sz="4" w:space="0" w:color="auto"/>
            </w:tcBorders>
            <w:shd w:val="clear" w:color="auto" w:fill="auto"/>
            <w:vAlign w:val="center"/>
            <w:hideMark/>
          </w:tcPr>
          <w:p w14:paraId="18B415B9" w14:textId="77777777" w:rsidR="00481E0A" w:rsidRPr="006D1C3A" w:rsidRDefault="00481E0A" w:rsidP="00481E0A">
            <w:pPr>
              <w:overflowPunct/>
              <w:autoSpaceDE/>
              <w:autoSpaceDN/>
              <w:adjustRightInd/>
              <w:spacing w:after="0"/>
              <w:textAlignment w:val="auto"/>
              <w:rPr>
                <w:rFonts w:ascii="Calibri" w:hAnsi="Calibri"/>
                <w:color w:val="000000"/>
                <w:sz w:val="16"/>
                <w:szCs w:val="16"/>
                <w:highlight w:val="yellow"/>
              </w:rPr>
            </w:pPr>
            <w:r>
              <w:rPr>
                <w:rFonts w:ascii="Calibri" w:hAnsi="Calibri"/>
                <w:color w:val="000000"/>
                <w:sz w:val="16"/>
                <w:szCs w:val="16"/>
              </w:rPr>
              <w:t xml:space="preserve">Current MBW </w:t>
            </w:r>
            <w:r w:rsidRPr="00BD157A">
              <w:rPr>
                <w:rFonts w:ascii="Calibri" w:hAnsi="Calibri"/>
                <w:color w:val="000000"/>
                <w:sz w:val="16"/>
                <w:szCs w:val="16"/>
              </w:rPr>
              <w:t>[MHz]</w:t>
            </w:r>
          </w:p>
        </w:tc>
        <w:tc>
          <w:tcPr>
            <w:tcW w:w="898" w:type="dxa"/>
            <w:tcBorders>
              <w:top w:val="nil"/>
              <w:left w:val="single" w:sz="4" w:space="0" w:color="auto"/>
              <w:bottom w:val="single" w:sz="4" w:space="0" w:color="auto"/>
              <w:right w:val="single" w:sz="4" w:space="0" w:color="auto"/>
            </w:tcBorders>
            <w:shd w:val="clear" w:color="auto" w:fill="auto"/>
            <w:vAlign w:val="center"/>
          </w:tcPr>
          <w:p w14:paraId="39DCC4BA" w14:textId="339AF0C3" w:rsidR="00481E0A" w:rsidRPr="006D1C3A" w:rsidRDefault="00481E0A" w:rsidP="00481E0A">
            <w:pPr>
              <w:overflowPunct/>
              <w:autoSpaceDE/>
              <w:autoSpaceDN/>
              <w:adjustRightInd/>
              <w:spacing w:after="0"/>
              <w:jc w:val="center"/>
              <w:textAlignment w:val="auto"/>
              <w:rPr>
                <w:rFonts w:ascii="Calibri" w:hAnsi="Calibri"/>
                <w:color w:val="000000"/>
                <w:sz w:val="16"/>
                <w:szCs w:val="16"/>
                <w:highlight w:val="yellow"/>
              </w:rPr>
            </w:pPr>
            <w:r w:rsidRPr="00481E0A">
              <w:rPr>
                <w:rFonts w:ascii="Calibri" w:hAnsi="Calibri"/>
                <w:color w:val="000000"/>
                <w:sz w:val="16"/>
                <w:szCs w:val="16"/>
              </w:rPr>
              <w:t>all</w:t>
            </w:r>
          </w:p>
        </w:tc>
        <w:tc>
          <w:tcPr>
            <w:tcW w:w="754" w:type="dxa"/>
            <w:tcBorders>
              <w:top w:val="nil"/>
              <w:left w:val="nil"/>
              <w:bottom w:val="single" w:sz="4" w:space="0" w:color="auto"/>
              <w:right w:val="single" w:sz="4" w:space="0" w:color="auto"/>
            </w:tcBorders>
            <w:shd w:val="clear" w:color="auto" w:fill="auto"/>
            <w:noWrap/>
            <w:vAlign w:val="center"/>
            <w:hideMark/>
          </w:tcPr>
          <w:p w14:paraId="6573ECF5" w14:textId="29C7426C" w:rsidR="00481E0A" w:rsidRPr="00481E0A" w:rsidRDefault="00481E0A" w:rsidP="00481E0A">
            <w:pPr>
              <w:overflowPunct/>
              <w:autoSpaceDE/>
              <w:autoSpaceDN/>
              <w:adjustRightInd/>
              <w:spacing w:after="0"/>
              <w:jc w:val="center"/>
              <w:textAlignment w:val="auto"/>
              <w:rPr>
                <w:rFonts w:ascii="Calibri" w:hAnsi="Calibri"/>
                <w:color w:val="000000"/>
                <w:sz w:val="16"/>
                <w:szCs w:val="16"/>
              </w:rPr>
            </w:pPr>
            <w:r w:rsidRPr="00481E0A">
              <w:rPr>
                <w:rFonts w:ascii="Calibri" w:hAnsi="Calibri"/>
                <w:color w:val="000000"/>
                <w:sz w:val="16"/>
                <w:szCs w:val="16"/>
              </w:rPr>
              <w:t>47.52</w:t>
            </w:r>
          </w:p>
        </w:tc>
        <w:tc>
          <w:tcPr>
            <w:tcW w:w="851" w:type="dxa"/>
            <w:tcBorders>
              <w:top w:val="nil"/>
              <w:left w:val="nil"/>
              <w:bottom w:val="single" w:sz="4" w:space="0" w:color="auto"/>
              <w:right w:val="single" w:sz="4" w:space="0" w:color="auto"/>
            </w:tcBorders>
            <w:shd w:val="clear" w:color="auto" w:fill="auto"/>
            <w:noWrap/>
            <w:vAlign w:val="center"/>
            <w:hideMark/>
          </w:tcPr>
          <w:p w14:paraId="2B566798" w14:textId="68D5F0CC" w:rsidR="00481E0A" w:rsidRPr="00481E0A" w:rsidRDefault="00481E0A" w:rsidP="00481E0A">
            <w:pPr>
              <w:overflowPunct/>
              <w:autoSpaceDE/>
              <w:autoSpaceDN/>
              <w:adjustRightInd/>
              <w:spacing w:after="0"/>
              <w:jc w:val="center"/>
              <w:textAlignment w:val="auto"/>
              <w:rPr>
                <w:rFonts w:ascii="Calibri" w:hAnsi="Calibri"/>
                <w:color w:val="000000"/>
                <w:sz w:val="16"/>
                <w:szCs w:val="16"/>
              </w:rPr>
            </w:pPr>
            <w:r w:rsidRPr="00481E0A">
              <w:rPr>
                <w:rFonts w:ascii="Calibri" w:hAnsi="Calibri"/>
                <w:color w:val="000000"/>
                <w:sz w:val="16"/>
                <w:szCs w:val="16"/>
              </w:rPr>
              <w:t>95.04</w:t>
            </w:r>
          </w:p>
        </w:tc>
        <w:tc>
          <w:tcPr>
            <w:tcW w:w="850" w:type="dxa"/>
            <w:tcBorders>
              <w:top w:val="nil"/>
              <w:left w:val="nil"/>
              <w:bottom w:val="single" w:sz="4" w:space="0" w:color="auto"/>
              <w:right w:val="single" w:sz="4" w:space="0" w:color="auto"/>
            </w:tcBorders>
            <w:shd w:val="clear" w:color="auto" w:fill="auto"/>
            <w:noWrap/>
            <w:vAlign w:val="center"/>
            <w:hideMark/>
          </w:tcPr>
          <w:p w14:paraId="2CD0FDF9" w14:textId="37B638D9" w:rsidR="00481E0A" w:rsidRPr="00481E0A" w:rsidRDefault="00481E0A" w:rsidP="00481E0A">
            <w:pPr>
              <w:overflowPunct/>
              <w:autoSpaceDE/>
              <w:autoSpaceDN/>
              <w:adjustRightInd/>
              <w:spacing w:after="0"/>
              <w:jc w:val="center"/>
              <w:textAlignment w:val="auto"/>
              <w:rPr>
                <w:rFonts w:ascii="Calibri" w:hAnsi="Calibri"/>
                <w:color w:val="000000"/>
                <w:sz w:val="16"/>
                <w:szCs w:val="16"/>
              </w:rPr>
            </w:pPr>
            <w:r w:rsidRPr="00481E0A">
              <w:rPr>
                <w:rFonts w:ascii="Calibri" w:hAnsi="Calibri"/>
                <w:color w:val="000000"/>
                <w:sz w:val="16"/>
                <w:szCs w:val="16"/>
              </w:rPr>
              <w:t>190.08</w:t>
            </w:r>
          </w:p>
        </w:tc>
        <w:tc>
          <w:tcPr>
            <w:tcW w:w="851" w:type="dxa"/>
            <w:tcBorders>
              <w:top w:val="nil"/>
              <w:left w:val="nil"/>
              <w:bottom w:val="single" w:sz="4" w:space="0" w:color="auto"/>
              <w:right w:val="single" w:sz="4" w:space="0" w:color="auto"/>
            </w:tcBorders>
            <w:shd w:val="clear" w:color="auto" w:fill="auto"/>
            <w:noWrap/>
            <w:vAlign w:val="center"/>
            <w:hideMark/>
          </w:tcPr>
          <w:p w14:paraId="68AC056F" w14:textId="6CC57152" w:rsidR="00481E0A" w:rsidRPr="00481E0A" w:rsidRDefault="00481E0A" w:rsidP="00481E0A">
            <w:pPr>
              <w:overflowPunct/>
              <w:autoSpaceDE/>
              <w:autoSpaceDN/>
              <w:adjustRightInd/>
              <w:spacing w:after="0"/>
              <w:jc w:val="center"/>
              <w:textAlignment w:val="auto"/>
              <w:rPr>
                <w:rFonts w:ascii="Calibri" w:hAnsi="Calibri"/>
                <w:color w:val="000000"/>
                <w:sz w:val="16"/>
                <w:szCs w:val="16"/>
              </w:rPr>
            </w:pPr>
            <w:r w:rsidRPr="00481E0A">
              <w:rPr>
                <w:rFonts w:ascii="Calibri" w:hAnsi="Calibri"/>
                <w:color w:val="000000"/>
                <w:sz w:val="16"/>
                <w:szCs w:val="16"/>
              </w:rPr>
              <w:t>380.16</w:t>
            </w:r>
          </w:p>
        </w:tc>
      </w:tr>
      <w:tr w:rsidR="009D5CF8" w:rsidRPr="00BD157A" w14:paraId="05BE1A65" w14:textId="77777777" w:rsidTr="009D5CF8">
        <w:trPr>
          <w:trHeight w:val="49"/>
          <w:jc w:val="center"/>
        </w:trPr>
        <w:tc>
          <w:tcPr>
            <w:tcW w:w="1844" w:type="dxa"/>
            <w:vMerge w:val="restart"/>
            <w:tcBorders>
              <w:top w:val="nil"/>
              <w:left w:val="single" w:sz="4" w:space="0" w:color="auto"/>
              <w:right w:val="single" w:sz="4" w:space="0" w:color="auto"/>
            </w:tcBorders>
            <w:shd w:val="clear" w:color="auto" w:fill="auto"/>
            <w:noWrap/>
            <w:vAlign w:val="center"/>
            <w:hideMark/>
          </w:tcPr>
          <w:p w14:paraId="293CD279" w14:textId="08539E20" w:rsidR="009D5CF8" w:rsidRPr="00BD157A" w:rsidRDefault="009D5CF8" w:rsidP="00481E0A">
            <w:pPr>
              <w:overflowPunct/>
              <w:autoSpaceDE/>
              <w:autoSpaceDN/>
              <w:adjustRightInd/>
              <w:spacing w:after="0"/>
              <w:textAlignment w:val="auto"/>
              <w:rPr>
                <w:rFonts w:ascii="Calibri" w:hAnsi="Calibri"/>
                <w:color w:val="000000"/>
                <w:sz w:val="16"/>
                <w:szCs w:val="16"/>
              </w:rPr>
            </w:pPr>
            <w:r>
              <w:rPr>
                <w:rFonts w:ascii="Calibri" w:hAnsi="Calibri"/>
                <w:color w:val="000000"/>
                <w:sz w:val="16"/>
                <w:szCs w:val="16"/>
              </w:rPr>
              <w:t xml:space="preserve">Symmetrical </w:t>
            </w:r>
            <w:r w:rsidRPr="00BD157A">
              <w:rPr>
                <w:rFonts w:ascii="Calibri" w:hAnsi="Calibri"/>
                <w:color w:val="000000"/>
                <w:sz w:val="16"/>
                <w:szCs w:val="16"/>
              </w:rPr>
              <w:t>TXBW [MHz]</w:t>
            </w:r>
          </w:p>
        </w:tc>
        <w:tc>
          <w:tcPr>
            <w:tcW w:w="898" w:type="dxa"/>
            <w:tcBorders>
              <w:top w:val="nil"/>
              <w:left w:val="nil"/>
              <w:bottom w:val="nil"/>
              <w:right w:val="single" w:sz="4" w:space="0" w:color="auto"/>
            </w:tcBorders>
            <w:shd w:val="clear" w:color="auto" w:fill="auto"/>
            <w:noWrap/>
            <w:vAlign w:val="center"/>
            <w:hideMark/>
          </w:tcPr>
          <w:p w14:paraId="1D632A3A" w14:textId="7F2C0B59" w:rsidR="009D5CF8" w:rsidRPr="00BD157A" w:rsidRDefault="009D5CF8" w:rsidP="00481E0A">
            <w:pPr>
              <w:overflowPunct/>
              <w:autoSpaceDE/>
              <w:autoSpaceDN/>
              <w:adjustRightInd/>
              <w:spacing w:after="0"/>
              <w:jc w:val="center"/>
              <w:textAlignment w:val="auto"/>
              <w:rPr>
                <w:rFonts w:ascii="Calibri" w:hAnsi="Calibri"/>
                <w:color w:val="000000"/>
                <w:sz w:val="16"/>
                <w:szCs w:val="16"/>
              </w:rPr>
            </w:pPr>
            <w:r>
              <w:rPr>
                <w:rFonts w:ascii="Calibri" w:hAnsi="Calibri"/>
                <w:color w:val="000000"/>
                <w:sz w:val="16"/>
                <w:szCs w:val="16"/>
              </w:rPr>
              <w:t>60</w:t>
            </w:r>
          </w:p>
        </w:tc>
        <w:tc>
          <w:tcPr>
            <w:tcW w:w="754" w:type="dxa"/>
            <w:tcBorders>
              <w:top w:val="nil"/>
              <w:left w:val="nil"/>
              <w:bottom w:val="nil"/>
              <w:right w:val="single" w:sz="4" w:space="0" w:color="auto"/>
            </w:tcBorders>
            <w:shd w:val="clear" w:color="auto" w:fill="FFFF00"/>
            <w:noWrap/>
            <w:vAlign w:val="center"/>
            <w:hideMark/>
          </w:tcPr>
          <w:p w14:paraId="0057A461" w14:textId="53167136" w:rsidR="009D5CF8" w:rsidRPr="00BD157A" w:rsidRDefault="009D5CF8" w:rsidP="00481E0A">
            <w:pPr>
              <w:overflowPunct/>
              <w:autoSpaceDE/>
              <w:autoSpaceDN/>
              <w:adjustRightInd/>
              <w:spacing w:after="0"/>
              <w:jc w:val="center"/>
              <w:textAlignment w:val="auto"/>
              <w:rPr>
                <w:rFonts w:ascii="Calibri" w:hAnsi="Calibri"/>
                <w:color w:val="000000"/>
                <w:sz w:val="16"/>
                <w:szCs w:val="16"/>
              </w:rPr>
            </w:pPr>
            <w:r>
              <w:rPr>
                <w:rFonts w:ascii="Calibri" w:hAnsi="Calibri"/>
                <w:color w:val="000000"/>
                <w:sz w:val="16"/>
                <w:szCs w:val="16"/>
              </w:rPr>
              <w:t>47.58</w:t>
            </w:r>
          </w:p>
        </w:tc>
        <w:tc>
          <w:tcPr>
            <w:tcW w:w="851" w:type="dxa"/>
            <w:tcBorders>
              <w:top w:val="nil"/>
              <w:left w:val="nil"/>
              <w:bottom w:val="nil"/>
              <w:right w:val="single" w:sz="4" w:space="0" w:color="auto"/>
            </w:tcBorders>
            <w:shd w:val="clear" w:color="auto" w:fill="auto"/>
            <w:noWrap/>
            <w:vAlign w:val="center"/>
            <w:hideMark/>
          </w:tcPr>
          <w:p w14:paraId="3D49BE48" w14:textId="4DD0F581" w:rsidR="009D5CF8" w:rsidRPr="00BD157A" w:rsidRDefault="009D5CF8" w:rsidP="00481E0A">
            <w:pPr>
              <w:overflowPunct/>
              <w:autoSpaceDE/>
              <w:autoSpaceDN/>
              <w:adjustRightInd/>
              <w:spacing w:after="0"/>
              <w:jc w:val="center"/>
              <w:textAlignment w:val="auto"/>
              <w:rPr>
                <w:rFonts w:ascii="Calibri" w:hAnsi="Calibri"/>
                <w:color w:val="000000"/>
                <w:sz w:val="16"/>
                <w:szCs w:val="16"/>
              </w:rPr>
            </w:pPr>
            <w:r>
              <w:rPr>
                <w:rFonts w:ascii="Calibri" w:hAnsi="Calibri"/>
                <w:color w:val="000000"/>
                <w:sz w:val="16"/>
                <w:szCs w:val="16"/>
              </w:rPr>
              <w:t>95.10</w:t>
            </w:r>
          </w:p>
        </w:tc>
        <w:tc>
          <w:tcPr>
            <w:tcW w:w="850" w:type="dxa"/>
            <w:tcBorders>
              <w:top w:val="nil"/>
              <w:left w:val="nil"/>
              <w:bottom w:val="nil"/>
              <w:right w:val="single" w:sz="4" w:space="0" w:color="auto"/>
            </w:tcBorders>
            <w:shd w:val="clear" w:color="auto" w:fill="auto"/>
            <w:noWrap/>
            <w:vAlign w:val="center"/>
            <w:hideMark/>
          </w:tcPr>
          <w:p w14:paraId="5115ADF8" w14:textId="661919E2" w:rsidR="009D5CF8" w:rsidRPr="00BD157A" w:rsidRDefault="009D5CF8" w:rsidP="00481E0A">
            <w:pPr>
              <w:overflowPunct/>
              <w:autoSpaceDE/>
              <w:autoSpaceDN/>
              <w:adjustRightInd/>
              <w:spacing w:after="0"/>
              <w:jc w:val="center"/>
              <w:textAlignment w:val="auto"/>
              <w:rPr>
                <w:rFonts w:ascii="Calibri" w:hAnsi="Calibri"/>
                <w:color w:val="000000"/>
                <w:sz w:val="16"/>
                <w:szCs w:val="16"/>
              </w:rPr>
            </w:pPr>
            <w:r>
              <w:rPr>
                <w:rFonts w:ascii="Calibri" w:hAnsi="Calibri"/>
                <w:color w:val="000000"/>
                <w:sz w:val="16"/>
                <w:szCs w:val="16"/>
              </w:rPr>
              <w:t>190.14</w:t>
            </w:r>
          </w:p>
        </w:tc>
        <w:tc>
          <w:tcPr>
            <w:tcW w:w="851" w:type="dxa"/>
            <w:tcBorders>
              <w:top w:val="nil"/>
              <w:left w:val="nil"/>
              <w:bottom w:val="nil"/>
              <w:right w:val="single" w:sz="4" w:space="0" w:color="auto"/>
            </w:tcBorders>
            <w:shd w:val="clear" w:color="auto" w:fill="auto"/>
            <w:noWrap/>
            <w:vAlign w:val="center"/>
            <w:hideMark/>
          </w:tcPr>
          <w:p w14:paraId="47BFD4D7" w14:textId="31DEA0FE" w:rsidR="009D5CF8" w:rsidRPr="00BD157A" w:rsidRDefault="009D5CF8" w:rsidP="00481E0A">
            <w:pPr>
              <w:overflowPunct/>
              <w:autoSpaceDE/>
              <w:autoSpaceDN/>
              <w:adjustRightInd/>
              <w:spacing w:after="0"/>
              <w:jc w:val="center"/>
              <w:textAlignment w:val="auto"/>
              <w:rPr>
                <w:rFonts w:ascii="Calibri" w:hAnsi="Calibri"/>
                <w:color w:val="000000"/>
                <w:sz w:val="16"/>
                <w:szCs w:val="16"/>
              </w:rPr>
            </w:pPr>
            <w:r>
              <w:rPr>
                <w:rFonts w:ascii="Calibri" w:hAnsi="Calibri"/>
                <w:color w:val="000000"/>
                <w:sz w:val="16"/>
                <w:szCs w:val="16"/>
              </w:rPr>
              <w:t>n-a</w:t>
            </w:r>
          </w:p>
        </w:tc>
      </w:tr>
      <w:tr w:rsidR="009D5CF8" w:rsidRPr="00BD157A" w14:paraId="598CB255" w14:textId="77777777" w:rsidTr="009D5CF8">
        <w:trPr>
          <w:trHeight w:val="49"/>
          <w:jc w:val="center"/>
        </w:trPr>
        <w:tc>
          <w:tcPr>
            <w:tcW w:w="1844" w:type="dxa"/>
            <w:vMerge/>
            <w:tcBorders>
              <w:left w:val="single" w:sz="4" w:space="0" w:color="auto"/>
              <w:right w:val="single" w:sz="4" w:space="0" w:color="auto"/>
            </w:tcBorders>
            <w:shd w:val="clear" w:color="auto" w:fill="auto"/>
            <w:noWrap/>
            <w:vAlign w:val="center"/>
          </w:tcPr>
          <w:p w14:paraId="1092E578" w14:textId="77777777" w:rsidR="009D5CF8" w:rsidRDefault="009D5CF8" w:rsidP="00481E0A">
            <w:pPr>
              <w:overflowPunct/>
              <w:autoSpaceDE/>
              <w:autoSpaceDN/>
              <w:adjustRightInd/>
              <w:spacing w:after="0"/>
              <w:textAlignment w:val="auto"/>
              <w:rPr>
                <w:rFonts w:ascii="Calibri" w:hAnsi="Calibri"/>
                <w:color w:val="000000"/>
                <w:sz w:val="16"/>
                <w:szCs w:val="16"/>
              </w:rPr>
            </w:pPr>
          </w:p>
        </w:tc>
        <w:tc>
          <w:tcPr>
            <w:tcW w:w="898" w:type="dxa"/>
            <w:tcBorders>
              <w:top w:val="nil"/>
              <w:left w:val="nil"/>
              <w:bottom w:val="nil"/>
              <w:right w:val="single" w:sz="4" w:space="0" w:color="auto"/>
            </w:tcBorders>
            <w:shd w:val="clear" w:color="auto" w:fill="auto"/>
            <w:noWrap/>
            <w:vAlign w:val="center"/>
          </w:tcPr>
          <w:p w14:paraId="6E79E310" w14:textId="16AF47F8" w:rsidR="009D5CF8" w:rsidRDefault="009D5CF8" w:rsidP="00481E0A">
            <w:pPr>
              <w:overflowPunct/>
              <w:autoSpaceDE/>
              <w:autoSpaceDN/>
              <w:adjustRightInd/>
              <w:spacing w:after="0"/>
              <w:jc w:val="center"/>
              <w:textAlignment w:val="auto"/>
              <w:rPr>
                <w:rFonts w:ascii="Calibri" w:hAnsi="Calibri"/>
                <w:color w:val="000000"/>
                <w:sz w:val="16"/>
                <w:szCs w:val="16"/>
              </w:rPr>
            </w:pPr>
            <w:r>
              <w:rPr>
                <w:rFonts w:ascii="Calibri" w:hAnsi="Calibri"/>
                <w:color w:val="000000"/>
                <w:sz w:val="16"/>
                <w:szCs w:val="16"/>
              </w:rPr>
              <w:t>120</w:t>
            </w:r>
          </w:p>
        </w:tc>
        <w:tc>
          <w:tcPr>
            <w:tcW w:w="754" w:type="dxa"/>
            <w:tcBorders>
              <w:top w:val="nil"/>
              <w:left w:val="nil"/>
              <w:bottom w:val="nil"/>
              <w:right w:val="single" w:sz="4" w:space="0" w:color="auto"/>
            </w:tcBorders>
            <w:shd w:val="clear" w:color="auto" w:fill="auto"/>
            <w:noWrap/>
            <w:vAlign w:val="center"/>
          </w:tcPr>
          <w:p w14:paraId="5508DF09" w14:textId="2ACC0156" w:rsidR="009D5CF8" w:rsidRPr="00BD157A" w:rsidRDefault="009D5CF8" w:rsidP="00481E0A">
            <w:pPr>
              <w:overflowPunct/>
              <w:autoSpaceDE/>
              <w:autoSpaceDN/>
              <w:adjustRightInd/>
              <w:spacing w:after="0"/>
              <w:jc w:val="center"/>
              <w:textAlignment w:val="auto"/>
              <w:rPr>
                <w:rFonts w:ascii="Calibri" w:hAnsi="Calibri"/>
                <w:color w:val="000000"/>
                <w:sz w:val="16"/>
                <w:szCs w:val="16"/>
              </w:rPr>
            </w:pPr>
            <w:r>
              <w:rPr>
                <w:rFonts w:ascii="Calibri" w:hAnsi="Calibri"/>
                <w:color w:val="000000"/>
                <w:sz w:val="16"/>
                <w:szCs w:val="16"/>
              </w:rPr>
              <w:t>46.20</w:t>
            </w:r>
          </w:p>
        </w:tc>
        <w:tc>
          <w:tcPr>
            <w:tcW w:w="851" w:type="dxa"/>
            <w:tcBorders>
              <w:top w:val="nil"/>
              <w:left w:val="nil"/>
              <w:bottom w:val="nil"/>
              <w:right w:val="single" w:sz="4" w:space="0" w:color="auto"/>
            </w:tcBorders>
            <w:shd w:val="clear" w:color="auto" w:fill="FFFF00"/>
            <w:noWrap/>
            <w:vAlign w:val="center"/>
          </w:tcPr>
          <w:p w14:paraId="506150C8" w14:textId="6B65BBBA" w:rsidR="009D5CF8" w:rsidRPr="00BD157A" w:rsidRDefault="009D5CF8" w:rsidP="00481E0A">
            <w:pPr>
              <w:overflowPunct/>
              <w:autoSpaceDE/>
              <w:autoSpaceDN/>
              <w:adjustRightInd/>
              <w:spacing w:after="0"/>
              <w:jc w:val="center"/>
              <w:textAlignment w:val="auto"/>
              <w:rPr>
                <w:rFonts w:ascii="Calibri" w:hAnsi="Calibri"/>
                <w:color w:val="000000"/>
                <w:sz w:val="16"/>
                <w:szCs w:val="16"/>
              </w:rPr>
            </w:pPr>
            <w:r>
              <w:rPr>
                <w:rFonts w:ascii="Calibri" w:hAnsi="Calibri"/>
                <w:color w:val="000000"/>
                <w:sz w:val="16"/>
                <w:szCs w:val="16"/>
              </w:rPr>
              <w:t>95.16</w:t>
            </w:r>
          </w:p>
        </w:tc>
        <w:tc>
          <w:tcPr>
            <w:tcW w:w="850" w:type="dxa"/>
            <w:tcBorders>
              <w:top w:val="nil"/>
              <w:left w:val="nil"/>
              <w:bottom w:val="nil"/>
              <w:right w:val="single" w:sz="4" w:space="0" w:color="auto"/>
            </w:tcBorders>
            <w:shd w:val="clear" w:color="auto" w:fill="FFFF00"/>
            <w:noWrap/>
            <w:vAlign w:val="center"/>
          </w:tcPr>
          <w:p w14:paraId="4064F3CE" w14:textId="65C80CFA" w:rsidR="009D5CF8" w:rsidRPr="00BD157A" w:rsidRDefault="009D5CF8" w:rsidP="00481E0A">
            <w:pPr>
              <w:overflowPunct/>
              <w:autoSpaceDE/>
              <w:autoSpaceDN/>
              <w:adjustRightInd/>
              <w:spacing w:after="0"/>
              <w:jc w:val="center"/>
              <w:textAlignment w:val="auto"/>
              <w:rPr>
                <w:rFonts w:ascii="Calibri" w:hAnsi="Calibri"/>
                <w:color w:val="000000"/>
                <w:sz w:val="16"/>
                <w:szCs w:val="16"/>
              </w:rPr>
            </w:pPr>
            <w:r>
              <w:rPr>
                <w:rFonts w:ascii="Calibri" w:hAnsi="Calibri"/>
                <w:color w:val="000000"/>
                <w:sz w:val="16"/>
                <w:szCs w:val="16"/>
              </w:rPr>
              <w:t>190.20</w:t>
            </w:r>
          </w:p>
        </w:tc>
        <w:tc>
          <w:tcPr>
            <w:tcW w:w="851" w:type="dxa"/>
            <w:tcBorders>
              <w:top w:val="nil"/>
              <w:left w:val="nil"/>
              <w:bottom w:val="nil"/>
              <w:right w:val="single" w:sz="4" w:space="0" w:color="auto"/>
            </w:tcBorders>
            <w:shd w:val="clear" w:color="auto" w:fill="FFFF00"/>
            <w:noWrap/>
            <w:vAlign w:val="center"/>
          </w:tcPr>
          <w:p w14:paraId="7BE9F5EE" w14:textId="08408071" w:rsidR="009D5CF8" w:rsidRPr="00BD157A" w:rsidRDefault="009D5CF8" w:rsidP="00481E0A">
            <w:pPr>
              <w:overflowPunct/>
              <w:autoSpaceDE/>
              <w:autoSpaceDN/>
              <w:adjustRightInd/>
              <w:spacing w:after="0"/>
              <w:jc w:val="center"/>
              <w:textAlignment w:val="auto"/>
              <w:rPr>
                <w:rFonts w:ascii="Calibri" w:hAnsi="Calibri"/>
                <w:color w:val="000000"/>
                <w:sz w:val="16"/>
                <w:szCs w:val="16"/>
              </w:rPr>
            </w:pPr>
            <w:r>
              <w:rPr>
                <w:rFonts w:ascii="Calibri" w:hAnsi="Calibri"/>
                <w:color w:val="000000"/>
                <w:sz w:val="16"/>
                <w:szCs w:val="16"/>
              </w:rPr>
              <w:t>380.28</w:t>
            </w:r>
          </w:p>
        </w:tc>
      </w:tr>
      <w:tr w:rsidR="009D5CF8" w:rsidRPr="00BD157A" w14:paraId="57E34BF8" w14:textId="77777777" w:rsidTr="009D5CF8">
        <w:trPr>
          <w:trHeight w:val="49"/>
          <w:jc w:val="center"/>
        </w:trPr>
        <w:tc>
          <w:tcPr>
            <w:tcW w:w="1844" w:type="dxa"/>
            <w:tcBorders>
              <w:left w:val="single" w:sz="4" w:space="0" w:color="auto"/>
              <w:bottom w:val="single" w:sz="4" w:space="0" w:color="auto"/>
              <w:right w:val="single" w:sz="4" w:space="0" w:color="auto"/>
            </w:tcBorders>
            <w:shd w:val="clear" w:color="auto" w:fill="auto"/>
            <w:noWrap/>
            <w:vAlign w:val="center"/>
          </w:tcPr>
          <w:p w14:paraId="1BF376BD" w14:textId="269599BE" w:rsidR="009D5CF8" w:rsidRDefault="009D5CF8" w:rsidP="00481E0A">
            <w:pPr>
              <w:overflowPunct/>
              <w:autoSpaceDE/>
              <w:autoSpaceDN/>
              <w:adjustRightInd/>
              <w:spacing w:after="0"/>
              <w:textAlignment w:val="auto"/>
              <w:rPr>
                <w:rFonts w:ascii="Calibri" w:hAnsi="Calibri"/>
                <w:color w:val="000000"/>
                <w:sz w:val="16"/>
                <w:szCs w:val="16"/>
              </w:rPr>
            </w:pPr>
            <w:r>
              <w:rPr>
                <w:rFonts w:ascii="Calibri" w:hAnsi="Calibri"/>
                <w:color w:val="000000"/>
                <w:sz w:val="16"/>
                <w:szCs w:val="16"/>
              </w:rPr>
              <w:t xml:space="preserve">Possible </w:t>
            </w:r>
            <w:proofErr w:type="spellStart"/>
            <w:r>
              <w:rPr>
                <w:rFonts w:ascii="Calibri" w:hAnsi="Calibri"/>
                <w:color w:val="000000"/>
                <w:sz w:val="16"/>
                <w:szCs w:val="16"/>
              </w:rPr>
              <w:t>maxMBW</w:t>
            </w:r>
            <w:proofErr w:type="spellEnd"/>
          </w:p>
        </w:tc>
        <w:tc>
          <w:tcPr>
            <w:tcW w:w="898" w:type="dxa"/>
            <w:tcBorders>
              <w:top w:val="nil"/>
              <w:left w:val="nil"/>
              <w:bottom w:val="single" w:sz="4" w:space="0" w:color="auto"/>
              <w:right w:val="single" w:sz="4" w:space="0" w:color="auto"/>
            </w:tcBorders>
            <w:shd w:val="clear" w:color="auto" w:fill="auto"/>
            <w:noWrap/>
            <w:vAlign w:val="center"/>
          </w:tcPr>
          <w:p w14:paraId="661EE3AF" w14:textId="1DE8D8F4" w:rsidR="009D5CF8" w:rsidRDefault="009D5CF8" w:rsidP="00481E0A">
            <w:pPr>
              <w:overflowPunct/>
              <w:autoSpaceDE/>
              <w:autoSpaceDN/>
              <w:adjustRightInd/>
              <w:spacing w:after="0"/>
              <w:jc w:val="center"/>
              <w:textAlignment w:val="auto"/>
              <w:rPr>
                <w:rFonts w:ascii="Calibri" w:hAnsi="Calibri"/>
                <w:color w:val="000000"/>
                <w:sz w:val="16"/>
                <w:szCs w:val="16"/>
              </w:rPr>
            </w:pPr>
          </w:p>
        </w:tc>
        <w:tc>
          <w:tcPr>
            <w:tcW w:w="754" w:type="dxa"/>
            <w:tcBorders>
              <w:top w:val="nil"/>
              <w:left w:val="nil"/>
              <w:bottom w:val="single" w:sz="4" w:space="0" w:color="auto"/>
              <w:right w:val="single" w:sz="4" w:space="0" w:color="auto"/>
            </w:tcBorders>
            <w:shd w:val="clear" w:color="auto" w:fill="auto"/>
            <w:noWrap/>
            <w:vAlign w:val="center"/>
          </w:tcPr>
          <w:p w14:paraId="4A11A52A" w14:textId="0C99BD98" w:rsidR="009D5CF8" w:rsidRDefault="009D5CF8" w:rsidP="00481E0A">
            <w:pPr>
              <w:overflowPunct/>
              <w:autoSpaceDE/>
              <w:autoSpaceDN/>
              <w:adjustRightInd/>
              <w:spacing w:after="0"/>
              <w:jc w:val="center"/>
              <w:textAlignment w:val="auto"/>
              <w:rPr>
                <w:rFonts w:ascii="Calibri" w:hAnsi="Calibri"/>
                <w:color w:val="000000"/>
                <w:sz w:val="16"/>
                <w:szCs w:val="16"/>
              </w:rPr>
            </w:pPr>
            <w:r>
              <w:rPr>
                <w:rFonts w:ascii="Calibri" w:hAnsi="Calibri"/>
                <w:color w:val="000000"/>
                <w:sz w:val="16"/>
                <w:szCs w:val="16"/>
              </w:rPr>
              <w:t>47.58</w:t>
            </w:r>
          </w:p>
        </w:tc>
        <w:tc>
          <w:tcPr>
            <w:tcW w:w="851" w:type="dxa"/>
            <w:tcBorders>
              <w:top w:val="nil"/>
              <w:left w:val="nil"/>
              <w:bottom w:val="single" w:sz="4" w:space="0" w:color="auto"/>
              <w:right w:val="single" w:sz="4" w:space="0" w:color="auto"/>
            </w:tcBorders>
            <w:shd w:val="clear" w:color="auto" w:fill="auto"/>
            <w:noWrap/>
            <w:vAlign w:val="center"/>
          </w:tcPr>
          <w:p w14:paraId="21FA0803" w14:textId="082403ED" w:rsidR="009D5CF8" w:rsidRDefault="009D5CF8" w:rsidP="00481E0A">
            <w:pPr>
              <w:overflowPunct/>
              <w:autoSpaceDE/>
              <w:autoSpaceDN/>
              <w:adjustRightInd/>
              <w:spacing w:after="0"/>
              <w:jc w:val="center"/>
              <w:textAlignment w:val="auto"/>
              <w:rPr>
                <w:rFonts w:ascii="Calibri" w:hAnsi="Calibri"/>
                <w:color w:val="000000"/>
                <w:sz w:val="16"/>
                <w:szCs w:val="16"/>
              </w:rPr>
            </w:pPr>
            <w:r>
              <w:rPr>
                <w:rFonts w:ascii="Calibri" w:hAnsi="Calibri"/>
                <w:color w:val="000000"/>
                <w:sz w:val="16"/>
                <w:szCs w:val="16"/>
              </w:rPr>
              <w:t>95.16</w:t>
            </w:r>
          </w:p>
        </w:tc>
        <w:tc>
          <w:tcPr>
            <w:tcW w:w="850" w:type="dxa"/>
            <w:tcBorders>
              <w:top w:val="nil"/>
              <w:left w:val="nil"/>
              <w:bottom w:val="single" w:sz="4" w:space="0" w:color="auto"/>
              <w:right w:val="single" w:sz="4" w:space="0" w:color="auto"/>
            </w:tcBorders>
            <w:shd w:val="clear" w:color="auto" w:fill="auto"/>
            <w:noWrap/>
            <w:vAlign w:val="center"/>
          </w:tcPr>
          <w:p w14:paraId="10122712" w14:textId="48FEF08C" w:rsidR="009D5CF8" w:rsidRDefault="009D5CF8" w:rsidP="00481E0A">
            <w:pPr>
              <w:overflowPunct/>
              <w:autoSpaceDE/>
              <w:autoSpaceDN/>
              <w:adjustRightInd/>
              <w:spacing w:after="0"/>
              <w:jc w:val="center"/>
              <w:textAlignment w:val="auto"/>
              <w:rPr>
                <w:rFonts w:ascii="Calibri" w:hAnsi="Calibri"/>
                <w:color w:val="000000"/>
                <w:sz w:val="16"/>
                <w:szCs w:val="16"/>
              </w:rPr>
            </w:pPr>
            <w:r>
              <w:rPr>
                <w:rFonts w:ascii="Calibri" w:hAnsi="Calibri"/>
                <w:color w:val="000000"/>
                <w:sz w:val="16"/>
                <w:szCs w:val="16"/>
              </w:rPr>
              <w:t>190.20</w:t>
            </w:r>
          </w:p>
        </w:tc>
        <w:tc>
          <w:tcPr>
            <w:tcW w:w="851" w:type="dxa"/>
            <w:tcBorders>
              <w:top w:val="nil"/>
              <w:left w:val="nil"/>
              <w:bottom w:val="single" w:sz="4" w:space="0" w:color="auto"/>
              <w:right w:val="single" w:sz="4" w:space="0" w:color="auto"/>
            </w:tcBorders>
            <w:shd w:val="clear" w:color="auto" w:fill="auto"/>
            <w:noWrap/>
            <w:vAlign w:val="center"/>
          </w:tcPr>
          <w:p w14:paraId="2371980F" w14:textId="3DC08A43" w:rsidR="009D5CF8" w:rsidRDefault="009D5CF8" w:rsidP="00481E0A">
            <w:pPr>
              <w:overflowPunct/>
              <w:autoSpaceDE/>
              <w:autoSpaceDN/>
              <w:adjustRightInd/>
              <w:spacing w:after="0"/>
              <w:jc w:val="center"/>
              <w:textAlignment w:val="auto"/>
              <w:rPr>
                <w:rFonts w:ascii="Calibri" w:hAnsi="Calibri"/>
                <w:color w:val="000000"/>
                <w:sz w:val="16"/>
                <w:szCs w:val="16"/>
              </w:rPr>
            </w:pPr>
            <w:r>
              <w:rPr>
                <w:rFonts w:ascii="Calibri" w:hAnsi="Calibri"/>
                <w:color w:val="000000"/>
                <w:sz w:val="16"/>
                <w:szCs w:val="16"/>
              </w:rPr>
              <w:t>380.28</w:t>
            </w:r>
          </w:p>
        </w:tc>
      </w:tr>
    </w:tbl>
    <w:p w14:paraId="5F2CEA6E" w14:textId="29E3549E" w:rsidR="0013113D" w:rsidRDefault="0013113D" w:rsidP="0013113D">
      <w:pPr>
        <w:rPr>
          <w:lang w:val="en-GB" w:eastAsia="zh-CN"/>
        </w:rPr>
      </w:pPr>
    </w:p>
    <w:p w14:paraId="221ED25F" w14:textId="14D86603" w:rsidR="0049401B" w:rsidRDefault="0049401B" w:rsidP="0013113D">
      <w:pPr>
        <w:rPr>
          <w:lang w:val="en-GB" w:eastAsia="zh-CN"/>
        </w:rPr>
      </w:pPr>
      <w:r>
        <w:rPr>
          <w:lang w:val="en-GB" w:eastAsia="zh-CN"/>
        </w:rPr>
        <w:t xml:space="preserve">Two possible options may be considered to ensure </w:t>
      </w:r>
      <w:r w:rsidR="00ED5B00">
        <w:rPr>
          <w:lang w:val="en-GB" w:eastAsia="zh-CN"/>
        </w:rPr>
        <w:t>MBW is cent</w:t>
      </w:r>
      <w:r w:rsidR="009A6060">
        <w:rPr>
          <w:lang w:val="en-GB" w:eastAsia="zh-CN"/>
        </w:rPr>
        <w:t>e</w:t>
      </w:r>
      <w:r w:rsidR="00ED5B00">
        <w:rPr>
          <w:lang w:val="en-GB" w:eastAsia="zh-CN"/>
        </w:rPr>
        <w:t>red on TxBW.</w:t>
      </w:r>
    </w:p>
    <w:p w14:paraId="697FF2E7" w14:textId="32CEA821" w:rsidR="0049401B" w:rsidRDefault="0049401B" w:rsidP="0049401B">
      <w:pPr>
        <w:pStyle w:val="ListParagraph"/>
        <w:numPr>
          <w:ilvl w:val="0"/>
          <w:numId w:val="29"/>
        </w:numPr>
        <w:rPr>
          <w:lang w:val="en-GB" w:eastAsia="zh-CN"/>
        </w:rPr>
      </w:pPr>
      <w:r>
        <w:rPr>
          <w:lang w:val="en-GB" w:eastAsia="zh-CN"/>
        </w:rPr>
        <w:t xml:space="preserve">Option 1: modify FR2 MBW according to </w:t>
      </w:r>
      <w:r>
        <w:rPr>
          <w:lang w:val="en-GB" w:eastAsia="zh-CN"/>
        </w:rPr>
        <w:fldChar w:fldCharType="begin"/>
      </w:r>
      <w:r>
        <w:rPr>
          <w:lang w:val="en-GB" w:eastAsia="zh-CN"/>
        </w:rPr>
        <w:instrText xml:space="preserve"> REF _Ref32578709 \h </w:instrText>
      </w:r>
      <w:r>
        <w:rPr>
          <w:lang w:val="en-GB" w:eastAsia="zh-CN"/>
        </w:rPr>
      </w:r>
      <w:r>
        <w:rPr>
          <w:lang w:val="en-GB" w:eastAsia="zh-CN"/>
        </w:rPr>
        <w:fldChar w:fldCharType="separate"/>
      </w:r>
      <w:r>
        <w:t xml:space="preserve">Table </w:t>
      </w:r>
      <w:r>
        <w:rPr>
          <w:noProof/>
        </w:rPr>
        <w:t>3</w:t>
      </w:r>
      <w:r>
        <w:rPr>
          <w:lang w:val="en-GB" w:eastAsia="zh-CN"/>
        </w:rPr>
        <w:fldChar w:fldCharType="end"/>
      </w:r>
    </w:p>
    <w:p w14:paraId="7974F545" w14:textId="1D98CBDC" w:rsidR="0013113D" w:rsidRPr="00C64BC4" w:rsidRDefault="0049401B" w:rsidP="00FB301E">
      <w:pPr>
        <w:pStyle w:val="ListParagraph"/>
        <w:numPr>
          <w:ilvl w:val="0"/>
          <w:numId w:val="29"/>
        </w:numPr>
        <w:rPr>
          <w:lang w:val="en-GB" w:eastAsia="zh-CN"/>
        </w:rPr>
      </w:pPr>
      <w:r w:rsidRPr="00C64BC4">
        <w:rPr>
          <w:lang w:val="en-GB" w:eastAsia="zh-CN"/>
        </w:rPr>
        <w:t>Option 2: maintain existing FR2 MBW</w:t>
      </w:r>
      <w:r w:rsidR="00C64BC4" w:rsidRPr="00C64BC4">
        <w:rPr>
          <w:lang w:val="en-GB" w:eastAsia="zh-CN"/>
        </w:rPr>
        <w:t>,</w:t>
      </w:r>
      <w:r w:rsidRPr="00C64BC4">
        <w:rPr>
          <w:lang w:val="en-GB" w:eastAsia="zh-CN"/>
        </w:rPr>
        <w:t xml:space="preserve"> and change </w:t>
      </w:r>
      <w:r w:rsidR="009A6060">
        <w:rPr>
          <w:lang w:val="en-GB" w:eastAsia="zh-CN"/>
        </w:rPr>
        <w:t xml:space="preserve">the </w:t>
      </w:r>
      <w:r w:rsidRPr="00C64BC4">
        <w:rPr>
          <w:lang w:val="en-GB" w:eastAsia="zh-CN"/>
        </w:rPr>
        <w:t xml:space="preserve">text defining the </w:t>
      </w:r>
      <w:proofErr w:type="spellStart"/>
      <w:r w:rsidRPr="00C64BC4">
        <w:rPr>
          <w:lang w:val="en-GB" w:eastAsia="zh-CN"/>
        </w:rPr>
        <w:t>cente</w:t>
      </w:r>
      <w:r w:rsidR="009A6060">
        <w:rPr>
          <w:lang w:val="en-GB" w:eastAsia="zh-CN"/>
        </w:rPr>
        <w:t>r</w:t>
      </w:r>
      <w:proofErr w:type="spellEnd"/>
      <w:r w:rsidRPr="00C64BC4">
        <w:rPr>
          <w:lang w:val="en-GB" w:eastAsia="zh-CN"/>
        </w:rPr>
        <w:t xml:space="preserve"> frequency of the measurement BW for the wanted</w:t>
      </w:r>
      <w:r w:rsidR="00ED5B00">
        <w:rPr>
          <w:lang w:val="en-GB" w:eastAsia="zh-CN"/>
        </w:rPr>
        <w:t xml:space="preserve"> channel</w:t>
      </w:r>
      <w:r w:rsidRPr="00C64BC4">
        <w:rPr>
          <w:lang w:val="en-GB" w:eastAsia="zh-CN"/>
        </w:rPr>
        <w:t xml:space="preserve"> so that MBW becomes </w:t>
      </w:r>
      <w:r w:rsidR="00ED5B00">
        <w:rPr>
          <w:lang w:val="en-GB" w:eastAsia="zh-CN"/>
        </w:rPr>
        <w:t>cent</w:t>
      </w:r>
      <w:r w:rsidR="009A6060">
        <w:rPr>
          <w:lang w:val="en-GB" w:eastAsia="zh-CN"/>
        </w:rPr>
        <w:t>e</w:t>
      </w:r>
      <w:r w:rsidR="00ED5B00">
        <w:rPr>
          <w:lang w:val="en-GB" w:eastAsia="zh-CN"/>
        </w:rPr>
        <w:t>red on the TxBW.</w:t>
      </w:r>
    </w:p>
    <w:p w14:paraId="12CE9BEA" w14:textId="77777777" w:rsidR="00A645E7" w:rsidRDefault="00A645E7" w:rsidP="00D269D7">
      <w:pPr>
        <w:pStyle w:val="Heading1"/>
      </w:pPr>
      <w:r>
        <w:lastRenderedPageBreak/>
        <w:t>Conclusions</w:t>
      </w:r>
    </w:p>
    <w:p w14:paraId="78C9ADA4" w14:textId="42C33307" w:rsidR="00F80C93" w:rsidRPr="00694383" w:rsidRDefault="006418C7" w:rsidP="005C187D">
      <w:pPr>
        <w:spacing w:after="0"/>
        <w:jc w:val="both"/>
      </w:pPr>
      <w:r>
        <w:t>In this contribution</w:t>
      </w:r>
      <w:r w:rsidR="00E0195E">
        <w:t xml:space="preserve"> we present</w:t>
      </w:r>
      <w:r w:rsidR="0049401B">
        <w:t xml:space="preserve"> a possible discrepancy between FR1 MBW and FR2 MBW for wanted channel and adjacent channel power measurements. We note that the current FR2 MBW may not always ensure </w:t>
      </w:r>
      <w:r w:rsidR="008F78AE">
        <w:t>M</w:t>
      </w:r>
      <w:r w:rsidR="0049401B">
        <w:t xml:space="preserve">BW is </w:t>
      </w:r>
      <w:r w:rsidR="008F78AE">
        <w:t>centered correctly on the wanted channel</w:t>
      </w:r>
      <w:r w:rsidR="0049401B">
        <w:t xml:space="preserve">. MBW can be either extended by one SC or, current MBW may remain intact if </w:t>
      </w:r>
      <w:r w:rsidR="009A6060">
        <w:t xml:space="preserve">the </w:t>
      </w:r>
      <w:r w:rsidR="0049401B">
        <w:t>text defining how the cente</w:t>
      </w:r>
      <w:r w:rsidR="009A6060">
        <w:t>r</w:t>
      </w:r>
      <w:r w:rsidR="0049401B">
        <w:t xml:space="preserve"> frequency of </w:t>
      </w:r>
      <w:r w:rsidR="00E0195E">
        <w:t xml:space="preserve">the </w:t>
      </w:r>
      <w:r w:rsidR="0049401B">
        <w:t xml:space="preserve">wanted channel </w:t>
      </w:r>
      <w:r w:rsidR="008F78AE">
        <w:t xml:space="preserve">is modified, </w:t>
      </w:r>
      <w:r w:rsidR="00E0195E">
        <w:t>a possible solution consisting in applying a</w:t>
      </w:r>
      <w:r w:rsidR="00C64BC4">
        <w:t xml:space="preserve"> </w:t>
      </w:r>
      <w:r w:rsidR="00E0195E">
        <w:t>cente</w:t>
      </w:r>
      <w:r w:rsidR="009A6060">
        <w:t>r</w:t>
      </w:r>
      <w:r w:rsidR="00E0195E">
        <w:t xml:space="preserve"> frequency </w:t>
      </w:r>
      <w:r w:rsidR="00C64BC4">
        <w:t>shif</w:t>
      </w:r>
      <w:r w:rsidR="00E0195E">
        <w:t>t</w:t>
      </w:r>
      <w:r w:rsidR="008F78AE">
        <w:t>.</w:t>
      </w:r>
    </w:p>
    <w:p w14:paraId="03D6921F" w14:textId="77777777" w:rsidR="00F10F97" w:rsidRDefault="007321E3" w:rsidP="00C8525F">
      <w:pPr>
        <w:pStyle w:val="Heading1"/>
        <w:numPr>
          <w:ilvl w:val="0"/>
          <w:numId w:val="0"/>
        </w:numPr>
        <w:jc w:val="both"/>
      </w:pPr>
      <w:r>
        <w:t>R</w:t>
      </w:r>
      <w:r w:rsidR="00F10F97">
        <w:t>eferences</w:t>
      </w:r>
    </w:p>
    <w:p w14:paraId="6E0B1E7F" w14:textId="00FE5DF7" w:rsidR="007E7E4D" w:rsidRDefault="000D0AB2" w:rsidP="000D0AB2">
      <w:r>
        <w:t>[1]</w:t>
      </w:r>
      <w:r w:rsidR="002033E2">
        <w:t xml:space="preserve"> </w:t>
      </w:r>
      <w:r w:rsidR="002033E2" w:rsidRPr="002033E2">
        <w:t>R4-1707702</w:t>
      </w:r>
      <w:r w:rsidR="002033E2">
        <w:t xml:space="preserve">, </w:t>
      </w:r>
      <w:r w:rsidR="002033E2" w:rsidRPr="002033E2">
        <w:t>Impact of ACLR Measurement BW and TRX Impairments on NR UE MPR</w:t>
      </w:r>
      <w:r w:rsidR="002033E2">
        <w:t xml:space="preserve">, </w:t>
      </w:r>
      <w:r w:rsidR="002033E2" w:rsidRPr="002033E2">
        <w:t>Skyworks Solutions, Inc., Nokia, Nokia Shanghai Bell</w:t>
      </w:r>
      <w:r w:rsidR="002033E2">
        <w:t xml:space="preserve">, RAN4#84, </w:t>
      </w:r>
      <w:r w:rsidR="002033E2" w:rsidRPr="002033E2">
        <w:t>Berlin, Germany, 21 - 24 August, 2017</w:t>
      </w:r>
      <w:r w:rsidR="002033E2">
        <w:t>.</w:t>
      </w:r>
    </w:p>
    <w:p w14:paraId="48F68709" w14:textId="79306256" w:rsidR="00502CCC" w:rsidRPr="000D0AB2" w:rsidRDefault="00502CCC" w:rsidP="000D0AB2">
      <w:r>
        <w:t xml:space="preserve">[2] R4-1708912, </w:t>
      </w:r>
      <w:r w:rsidRPr="00502CCC">
        <w:t>NR MPR simulation assumptions for sub-6 GHz operation</w:t>
      </w:r>
      <w:r>
        <w:t>, Nokia, RAN4#84</w:t>
      </w:r>
      <w:r w:rsidR="002033E2">
        <w:t xml:space="preserve">, </w:t>
      </w:r>
      <w:r w:rsidR="002033E2" w:rsidRPr="002033E2">
        <w:t>Berlin, Germany, 21 - 24 August, 2017</w:t>
      </w:r>
      <w:r w:rsidR="002033E2">
        <w:t>.</w:t>
      </w:r>
    </w:p>
    <w:sectPr w:rsidR="00502CCC" w:rsidRPr="000D0AB2" w:rsidSect="00971C20">
      <w:footerReference w:type="default" r:id="rId10"/>
      <w:footnotePr>
        <w:numRestart w:val="eachSect"/>
      </w:footnotePr>
      <w:pgSz w:w="11907" w:h="16840" w:code="9"/>
      <w:pgMar w:top="1440" w:right="850" w:bottom="1440" w:left="1080" w:header="850" w:footer="34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7BF002" w16cid:durableId="20111D4C"/>
  <w16cid:commentId w16cid:paraId="0911C63A" w16cid:durableId="20112A33"/>
  <w16cid:commentId w16cid:paraId="210D4643" w16cid:durableId="20112A97"/>
  <w16cid:commentId w16cid:paraId="41501D09" w16cid:durableId="20112BE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972C07" w14:textId="77777777" w:rsidR="00AB0912" w:rsidRDefault="00AB0912">
      <w:r>
        <w:separator/>
      </w:r>
    </w:p>
  </w:endnote>
  <w:endnote w:type="continuationSeparator" w:id="0">
    <w:p w14:paraId="3A6E72D0" w14:textId="77777777" w:rsidR="00AB0912" w:rsidRDefault="00AB0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0120C" w14:textId="77777777" w:rsidR="00921941" w:rsidRDefault="009219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EDE898" w14:textId="77777777" w:rsidR="00AB0912" w:rsidRDefault="00AB0912">
      <w:r>
        <w:separator/>
      </w:r>
    </w:p>
  </w:footnote>
  <w:footnote w:type="continuationSeparator" w:id="0">
    <w:p w14:paraId="302B41F7" w14:textId="77777777" w:rsidR="00AB0912" w:rsidRDefault="00AB09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D5E80"/>
    <w:multiLevelType w:val="hybridMultilevel"/>
    <w:tmpl w:val="1BF259B2"/>
    <w:lvl w:ilvl="0" w:tplc="07C6B43E">
      <w:start w:val="12"/>
      <w:numFmt w:val="bullet"/>
      <w:lvlText w:val="-"/>
      <w:lvlJc w:val="left"/>
      <w:pPr>
        <w:ind w:left="720" w:hanging="360"/>
      </w:pPr>
      <w:rPr>
        <w:rFonts w:ascii="Arial" w:eastAsia="Malgun Gothic" w:hAnsi="Arial" w:cs="Arial" w:hint="default"/>
      </w:rPr>
    </w:lvl>
    <w:lvl w:ilvl="1" w:tplc="07C6B43E">
      <w:start w:val="12"/>
      <w:numFmt w:val="bullet"/>
      <w:lvlText w:val="-"/>
      <w:lvlJc w:val="left"/>
      <w:pPr>
        <w:ind w:left="1440" w:hanging="360"/>
      </w:pPr>
      <w:rPr>
        <w:rFonts w:ascii="Arial" w:eastAsia="Malgun Gothic"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15:restartNumberingAfterBreak="0">
    <w:nsid w:val="13EC726D"/>
    <w:multiLevelType w:val="hybridMultilevel"/>
    <w:tmpl w:val="36269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9B3B1E"/>
    <w:multiLevelType w:val="hybridMultilevel"/>
    <w:tmpl w:val="0D4A2006"/>
    <w:lvl w:ilvl="0" w:tplc="645485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FA79AD"/>
    <w:multiLevelType w:val="hybridMultilevel"/>
    <w:tmpl w:val="57002D6E"/>
    <w:lvl w:ilvl="0" w:tplc="8ED4F2AC">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0A1AC1"/>
    <w:multiLevelType w:val="hybridMultilevel"/>
    <w:tmpl w:val="CE401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6A46B3"/>
    <w:multiLevelType w:val="hybridMultilevel"/>
    <w:tmpl w:val="2526937E"/>
    <w:lvl w:ilvl="0" w:tplc="07C6B43E">
      <w:start w:val="1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660DE2"/>
    <w:multiLevelType w:val="hybridMultilevel"/>
    <w:tmpl w:val="84DC73A8"/>
    <w:lvl w:ilvl="0" w:tplc="645485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DB28AC"/>
    <w:multiLevelType w:val="hybridMultilevel"/>
    <w:tmpl w:val="217A98A4"/>
    <w:lvl w:ilvl="0" w:tplc="2F540410">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C51FFF"/>
    <w:multiLevelType w:val="hybridMultilevel"/>
    <w:tmpl w:val="412C8326"/>
    <w:lvl w:ilvl="0" w:tplc="07C6B43E">
      <w:start w:val="1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9D5D65"/>
    <w:multiLevelType w:val="hybridMultilevel"/>
    <w:tmpl w:val="9176D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3" w15:restartNumberingAfterBreak="0">
    <w:nsid w:val="360D4DCA"/>
    <w:multiLevelType w:val="hybridMultilevel"/>
    <w:tmpl w:val="1F64BEA2"/>
    <w:lvl w:ilvl="0" w:tplc="C8609452">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676839"/>
    <w:multiLevelType w:val="hybridMultilevel"/>
    <w:tmpl w:val="65D4E138"/>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F985900"/>
    <w:multiLevelType w:val="hybridMultilevel"/>
    <w:tmpl w:val="55E46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BE5375"/>
    <w:multiLevelType w:val="hybridMultilevel"/>
    <w:tmpl w:val="0B6A63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67244CD"/>
    <w:multiLevelType w:val="hybridMultilevel"/>
    <w:tmpl w:val="5B2AEC36"/>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976E23"/>
    <w:multiLevelType w:val="hybridMultilevel"/>
    <w:tmpl w:val="280CC362"/>
    <w:lvl w:ilvl="0" w:tplc="C8609452">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3D0989"/>
    <w:multiLevelType w:val="hybridMultilevel"/>
    <w:tmpl w:val="D9A2C18C"/>
    <w:lvl w:ilvl="0" w:tplc="04090001">
      <w:start w:val="1"/>
      <w:numFmt w:val="bullet"/>
      <w:lvlText w:val=""/>
      <w:lvlJc w:val="left"/>
      <w:pPr>
        <w:ind w:left="720" w:hanging="360"/>
      </w:pPr>
      <w:rPr>
        <w:rFonts w:ascii="Symbol" w:hAnsi="Symbol" w:hint="default"/>
      </w:rPr>
    </w:lvl>
    <w:lvl w:ilvl="1" w:tplc="07C6B43E">
      <w:start w:val="12"/>
      <w:numFmt w:val="bullet"/>
      <w:lvlText w:val="-"/>
      <w:lvlJc w:val="left"/>
      <w:pPr>
        <w:ind w:left="1440" w:hanging="360"/>
      </w:pPr>
      <w:rPr>
        <w:rFonts w:ascii="Arial" w:eastAsia="Malgun Gothic"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3C3A36"/>
    <w:multiLevelType w:val="hybridMultilevel"/>
    <w:tmpl w:val="984C3278"/>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59172B"/>
    <w:multiLevelType w:val="hybridMultilevel"/>
    <w:tmpl w:val="FB6E4C1C"/>
    <w:lvl w:ilvl="0" w:tplc="1FD81E32">
      <w:start w:val="14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E00CC7"/>
    <w:multiLevelType w:val="hybridMultilevel"/>
    <w:tmpl w:val="D6423552"/>
    <w:lvl w:ilvl="0" w:tplc="23DE5AA2">
      <w:start w:val="2"/>
      <w:numFmt w:val="bullet"/>
      <w:lvlText w:val="-"/>
      <w:lvlJc w:val="left"/>
      <w:pPr>
        <w:ind w:left="825" w:hanging="360"/>
      </w:pPr>
      <w:rPr>
        <w:rFonts w:ascii="Times New Roman" w:eastAsia="Times New Roman" w:hAnsi="Times New Roman" w:cs="Times New Roman"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7" w15:restartNumberingAfterBreak="0">
    <w:nsid w:val="77AF410D"/>
    <w:multiLevelType w:val="hybridMultilevel"/>
    <w:tmpl w:val="C01C6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5"/>
  </w:num>
  <w:num w:numId="3">
    <w:abstractNumId w:val="18"/>
  </w:num>
  <w:num w:numId="4">
    <w:abstractNumId w:val="28"/>
  </w:num>
  <w:num w:numId="5">
    <w:abstractNumId w:val="12"/>
  </w:num>
  <w:num w:numId="6">
    <w:abstractNumId w:val="1"/>
  </w:num>
  <w:num w:numId="7">
    <w:abstractNumId w:val="19"/>
  </w:num>
  <w:num w:numId="8">
    <w:abstractNumId w:val="25"/>
  </w:num>
  <w:num w:numId="9">
    <w:abstractNumId w:val="17"/>
  </w:num>
  <w:num w:numId="10">
    <w:abstractNumId w:val="16"/>
  </w:num>
  <w:num w:numId="11">
    <w:abstractNumId w:val="27"/>
  </w:num>
  <w:num w:numId="12">
    <w:abstractNumId w:val="2"/>
  </w:num>
  <w:num w:numId="13">
    <w:abstractNumId w:val="11"/>
  </w:num>
  <w:num w:numId="14">
    <w:abstractNumId w:val="26"/>
  </w:num>
  <w:num w:numId="15">
    <w:abstractNumId w:val="14"/>
  </w:num>
  <w:num w:numId="16">
    <w:abstractNumId w:val="20"/>
  </w:num>
  <w:num w:numId="17">
    <w:abstractNumId w:val="23"/>
  </w:num>
  <w:num w:numId="18">
    <w:abstractNumId w:val="10"/>
  </w:num>
  <w:num w:numId="19">
    <w:abstractNumId w:val="3"/>
  </w:num>
  <w:num w:numId="20">
    <w:abstractNumId w:val="8"/>
  </w:num>
  <w:num w:numId="21">
    <w:abstractNumId w:val="5"/>
  </w:num>
  <w:num w:numId="22">
    <w:abstractNumId w:val="7"/>
  </w:num>
  <w:num w:numId="23">
    <w:abstractNumId w:val="22"/>
  </w:num>
  <w:num w:numId="24">
    <w:abstractNumId w:val="0"/>
  </w:num>
  <w:num w:numId="25">
    <w:abstractNumId w:val="24"/>
  </w:num>
  <w:num w:numId="26">
    <w:abstractNumId w:val="4"/>
  </w:num>
  <w:num w:numId="27">
    <w:abstractNumId w:val="9"/>
  </w:num>
  <w:num w:numId="28">
    <w:abstractNumId w:val="21"/>
  </w:num>
  <w:num w:numId="29">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3CC0"/>
    <w:rsid w:val="00014963"/>
    <w:rsid w:val="00014C47"/>
    <w:rsid w:val="00014E13"/>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3EFE"/>
    <w:rsid w:val="00023F5A"/>
    <w:rsid w:val="0002475A"/>
    <w:rsid w:val="00024FEA"/>
    <w:rsid w:val="0002589A"/>
    <w:rsid w:val="00025907"/>
    <w:rsid w:val="00025FE8"/>
    <w:rsid w:val="00026262"/>
    <w:rsid w:val="0002648D"/>
    <w:rsid w:val="00026904"/>
    <w:rsid w:val="00026A59"/>
    <w:rsid w:val="00026DA3"/>
    <w:rsid w:val="00026F5D"/>
    <w:rsid w:val="0002723D"/>
    <w:rsid w:val="00027460"/>
    <w:rsid w:val="00027E1B"/>
    <w:rsid w:val="00027EBB"/>
    <w:rsid w:val="000301E7"/>
    <w:rsid w:val="00030386"/>
    <w:rsid w:val="00030FFD"/>
    <w:rsid w:val="00031165"/>
    <w:rsid w:val="00031CC0"/>
    <w:rsid w:val="0003252F"/>
    <w:rsid w:val="00032561"/>
    <w:rsid w:val="000326E2"/>
    <w:rsid w:val="00033398"/>
    <w:rsid w:val="00033827"/>
    <w:rsid w:val="00033AC7"/>
    <w:rsid w:val="00033DFA"/>
    <w:rsid w:val="00033F47"/>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92F"/>
    <w:rsid w:val="00044985"/>
    <w:rsid w:val="00044FE8"/>
    <w:rsid w:val="000451ED"/>
    <w:rsid w:val="00045776"/>
    <w:rsid w:val="00045975"/>
    <w:rsid w:val="00045A17"/>
    <w:rsid w:val="00045EEA"/>
    <w:rsid w:val="00045FD7"/>
    <w:rsid w:val="00046E05"/>
    <w:rsid w:val="00047059"/>
    <w:rsid w:val="0004729B"/>
    <w:rsid w:val="00047A83"/>
    <w:rsid w:val="000503DF"/>
    <w:rsid w:val="000505B8"/>
    <w:rsid w:val="000505C9"/>
    <w:rsid w:val="00050B62"/>
    <w:rsid w:val="00050DA6"/>
    <w:rsid w:val="00050DBE"/>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4B85"/>
    <w:rsid w:val="0007513E"/>
    <w:rsid w:val="000761DE"/>
    <w:rsid w:val="00076D24"/>
    <w:rsid w:val="0007704A"/>
    <w:rsid w:val="000778A7"/>
    <w:rsid w:val="00077DCD"/>
    <w:rsid w:val="00077F33"/>
    <w:rsid w:val="00080727"/>
    <w:rsid w:val="00080C3A"/>
    <w:rsid w:val="00080E45"/>
    <w:rsid w:val="00081D13"/>
    <w:rsid w:val="00082230"/>
    <w:rsid w:val="0008285B"/>
    <w:rsid w:val="000834ED"/>
    <w:rsid w:val="0008374A"/>
    <w:rsid w:val="00083DF5"/>
    <w:rsid w:val="000848C0"/>
    <w:rsid w:val="0008501B"/>
    <w:rsid w:val="00085AC1"/>
    <w:rsid w:val="00085B28"/>
    <w:rsid w:val="00085C18"/>
    <w:rsid w:val="000860C0"/>
    <w:rsid w:val="00086C5B"/>
    <w:rsid w:val="0008727B"/>
    <w:rsid w:val="0008742B"/>
    <w:rsid w:val="00087852"/>
    <w:rsid w:val="00087911"/>
    <w:rsid w:val="00087A67"/>
    <w:rsid w:val="00087D25"/>
    <w:rsid w:val="00087F65"/>
    <w:rsid w:val="0009044A"/>
    <w:rsid w:val="00091FF1"/>
    <w:rsid w:val="000923CF"/>
    <w:rsid w:val="000928E3"/>
    <w:rsid w:val="000928ED"/>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5225"/>
    <w:rsid w:val="000B5449"/>
    <w:rsid w:val="000B5A70"/>
    <w:rsid w:val="000B5EEC"/>
    <w:rsid w:val="000B6621"/>
    <w:rsid w:val="000B6E22"/>
    <w:rsid w:val="000B7302"/>
    <w:rsid w:val="000B73D6"/>
    <w:rsid w:val="000B770A"/>
    <w:rsid w:val="000B7DC7"/>
    <w:rsid w:val="000B7F2C"/>
    <w:rsid w:val="000C00A2"/>
    <w:rsid w:val="000C0293"/>
    <w:rsid w:val="000C1636"/>
    <w:rsid w:val="000C235D"/>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C7C"/>
    <w:rsid w:val="000D02AA"/>
    <w:rsid w:val="000D0AB2"/>
    <w:rsid w:val="000D1288"/>
    <w:rsid w:val="000D1552"/>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248E"/>
    <w:rsid w:val="000E3DDF"/>
    <w:rsid w:val="000E3E80"/>
    <w:rsid w:val="000E41EC"/>
    <w:rsid w:val="000E4890"/>
    <w:rsid w:val="000E4A77"/>
    <w:rsid w:val="000E4CA3"/>
    <w:rsid w:val="000E5033"/>
    <w:rsid w:val="000E5FA4"/>
    <w:rsid w:val="000E6028"/>
    <w:rsid w:val="000E6783"/>
    <w:rsid w:val="000E692C"/>
    <w:rsid w:val="000E6C16"/>
    <w:rsid w:val="000E71E1"/>
    <w:rsid w:val="000E79C6"/>
    <w:rsid w:val="000F031A"/>
    <w:rsid w:val="000F0576"/>
    <w:rsid w:val="000F0E69"/>
    <w:rsid w:val="000F0F33"/>
    <w:rsid w:val="000F1408"/>
    <w:rsid w:val="000F1736"/>
    <w:rsid w:val="000F2651"/>
    <w:rsid w:val="000F271E"/>
    <w:rsid w:val="000F283B"/>
    <w:rsid w:val="000F2A59"/>
    <w:rsid w:val="000F328C"/>
    <w:rsid w:val="000F36A9"/>
    <w:rsid w:val="000F42D3"/>
    <w:rsid w:val="000F4599"/>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A73"/>
    <w:rsid w:val="00104B44"/>
    <w:rsid w:val="001051FC"/>
    <w:rsid w:val="0010552D"/>
    <w:rsid w:val="00105C2B"/>
    <w:rsid w:val="00105D85"/>
    <w:rsid w:val="00105DF7"/>
    <w:rsid w:val="00105FAF"/>
    <w:rsid w:val="00106050"/>
    <w:rsid w:val="0010684E"/>
    <w:rsid w:val="00107099"/>
    <w:rsid w:val="001076AC"/>
    <w:rsid w:val="001108F1"/>
    <w:rsid w:val="00111828"/>
    <w:rsid w:val="0011274D"/>
    <w:rsid w:val="0011282B"/>
    <w:rsid w:val="00112D66"/>
    <w:rsid w:val="00112DDC"/>
    <w:rsid w:val="00113319"/>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2A9"/>
    <w:rsid w:val="00122457"/>
    <w:rsid w:val="0012277C"/>
    <w:rsid w:val="001227D0"/>
    <w:rsid w:val="001231AD"/>
    <w:rsid w:val="00123389"/>
    <w:rsid w:val="00123816"/>
    <w:rsid w:val="00123895"/>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7CB0"/>
    <w:rsid w:val="001300F3"/>
    <w:rsid w:val="001303AE"/>
    <w:rsid w:val="00130D14"/>
    <w:rsid w:val="00130DD7"/>
    <w:rsid w:val="001310D9"/>
    <w:rsid w:val="0013113D"/>
    <w:rsid w:val="0013179B"/>
    <w:rsid w:val="001318F6"/>
    <w:rsid w:val="00131CC8"/>
    <w:rsid w:val="00131F11"/>
    <w:rsid w:val="00132339"/>
    <w:rsid w:val="00132B1C"/>
    <w:rsid w:val="00133EB9"/>
    <w:rsid w:val="001348D2"/>
    <w:rsid w:val="00134F93"/>
    <w:rsid w:val="0013512A"/>
    <w:rsid w:val="00135141"/>
    <w:rsid w:val="00135898"/>
    <w:rsid w:val="00135C70"/>
    <w:rsid w:val="00136B9F"/>
    <w:rsid w:val="00136ECA"/>
    <w:rsid w:val="0013728B"/>
    <w:rsid w:val="00137A20"/>
    <w:rsid w:val="001403C3"/>
    <w:rsid w:val="00140CB7"/>
    <w:rsid w:val="00140F21"/>
    <w:rsid w:val="001415BD"/>
    <w:rsid w:val="00141A03"/>
    <w:rsid w:val="00141A40"/>
    <w:rsid w:val="001420CF"/>
    <w:rsid w:val="00142A41"/>
    <w:rsid w:val="00142B4D"/>
    <w:rsid w:val="00143488"/>
    <w:rsid w:val="001435F8"/>
    <w:rsid w:val="00143759"/>
    <w:rsid w:val="00143C8B"/>
    <w:rsid w:val="00143F56"/>
    <w:rsid w:val="00144083"/>
    <w:rsid w:val="001446B1"/>
    <w:rsid w:val="001448B7"/>
    <w:rsid w:val="00145741"/>
    <w:rsid w:val="00146015"/>
    <w:rsid w:val="001460BE"/>
    <w:rsid w:val="001462C7"/>
    <w:rsid w:val="001468B4"/>
    <w:rsid w:val="001479E3"/>
    <w:rsid w:val="00150D9D"/>
    <w:rsid w:val="00151161"/>
    <w:rsid w:val="0015196F"/>
    <w:rsid w:val="00152050"/>
    <w:rsid w:val="0015261D"/>
    <w:rsid w:val="00152BC7"/>
    <w:rsid w:val="00152EF8"/>
    <w:rsid w:val="0015380C"/>
    <w:rsid w:val="00153921"/>
    <w:rsid w:val="00153BFD"/>
    <w:rsid w:val="0015449F"/>
    <w:rsid w:val="001546DB"/>
    <w:rsid w:val="00154704"/>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225"/>
    <w:rsid w:val="00163D7E"/>
    <w:rsid w:val="001645B2"/>
    <w:rsid w:val="00164A1C"/>
    <w:rsid w:val="00164D63"/>
    <w:rsid w:val="00164EEA"/>
    <w:rsid w:val="0016526E"/>
    <w:rsid w:val="001654CE"/>
    <w:rsid w:val="001657A1"/>
    <w:rsid w:val="00165CF7"/>
    <w:rsid w:val="00166617"/>
    <w:rsid w:val="001668D7"/>
    <w:rsid w:val="00166C36"/>
    <w:rsid w:val="0016711C"/>
    <w:rsid w:val="0016727A"/>
    <w:rsid w:val="0016727F"/>
    <w:rsid w:val="001674AF"/>
    <w:rsid w:val="0016752D"/>
    <w:rsid w:val="0016772E"/>
    <w:rsid w:val="00167BA0"/>
    <w:rsid w:val="001704F1"/>
    <w:rsid w:val="001705AC"/>
    <w:rsid w:val="00170710"/>
    <w:rsid w:val="00170A94"/>
    <w:rsid w:val="00170C6E"/>
    <w:rsid w:val="00170FB7"/>
    <w:rsid w:val="001713BB"/>
    <w:rsid w:val="0017170B"/>
    <w:rsid w:val="00171D17"/>
    <w:rsid w:val="00171F17"/>
    <w:rsid w:val="00172067"/>
    <w:rsid w:val="00172515"/>
    <w:rsid w:val="001736B8"/>
    <w:rsid w:val="00173B5D"/>
    <w:rsid w:val="00174156"/>
    <w:rsid w:val="0017474B"/>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913A3"/>
    <w:rsid w:val="00191FEC"/>
    <w:rsid w:val="00192276"/>
    <w:rsid w:val="00192CF8"/>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EAD"/>
    <w:rsid w:val="001A5FAC"/>
    <w:rsid w:val="001A652B"/>
    <w:rsid w:val="001A666D"/>
    <w:rsid w:val="001A7BF1"/>
    <w:rsid w:val="001B015A"/>
    <w:rsid w:val="001B0330"/>
    <w:rsid w:val="001B044D"/>
    <w:rsid w:val="001B04A1"/>
    <w:rsid w:val="001B0D44"/>
    <w:rsid w:val="001B0EA1"/>
    <w:rsid w:val="001B14C1"/>
    <w:rsid w:val="001B15B6"/>
    <w:rsid w:val="001B16F1"/>
    <w:rsid w:val="001B182D"/>
    <w:rsid w:val="001B2489"/>
    <w:rsid w:val="001B2901"/>
    <w:rsid w:val="001B2ACE"/>
    <w:rsid w:val="001B2C67"/>
    <w:rsid w:val="001B2DD9"/>
    <w:rsid w:val="001B32FB"/>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34DC"/>
    <w:rsid w:val="001C37A9"/>
    <w:rsid w:val="001C389D"/>
    <w:rsid w:val="001C3DAA"/>
    <w:rsid w:val="001C4141"/>
    <w:rsid w:val="001C4764"/>
    <w:rsid w:val="001C4B3F"/>
    <w:rsid w:val="001C562B"/>
    <w:rsid w:val="001C5661"/>
    <w:rsid w:val="001C5822"/>
    <w:rsid w:val="001C5E00"/>
    <w:rsid w:val="001C614F"/>
    <w:rsid w:val="001C650E"/>
    <w:rsid w:val="001C6572"/>
    <w:rsid w:val="001C66BA"/>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6E8"/>
    <w:rsid w:val="001E399C"/>
    <w:rsid w:val="001E3ABE"/>
    <w:rsid w:val="001E3B64"/>
    <w:rsid w:val="001E3E11"/>
    <w:rsid w:val="001E4374"/>
    <w:rsid w:val="001E4987"/>
    <w:rsid w:val="001E4AE1"/>
    <w:rsid w:val="001E4F33"/>
    <w:rsid w:val="001E5048"/>
    <w:rsid w:val="001E5665"/>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F25"/>
    <w:rsid w:val="0020201F"/>
    <w:rsid w:val="002024BA"/>
    <w:rsid w:val="00202596"/>
    <w:rsid w:val="00202D58"/>
    <w:rsid w:val="00203326"/>
    <w:rsid w:val="002033E2"/>
    <w:rsid w:val="0020442C"/>
    <w:rsid w:val="0020476C"/>
    <w:rsid w:val="002058A6"/>
    <w:rsid w:val="00206F1B"/>
    <w:rsid w:val="00206FB1"/>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4F5D"/>
    <w:rsid w:val="002151C9"/>
    <w:rsid w:val="002151E7"/>
    <w:rsid w:val="002155D0"/>
    <w:rsid w:val="00215964"/>
    <w:rsid w:val="00215988"/>
    <w:rsid w:val="00215995"/>
    <w:rsid w:val="0021627F"/>
    <w:rsid w:val="00216342"/>
    <w:rsid w:val="002165A9"/>
    <w:rsid w:val="00216A4E"/>
    <w:rsid w:val="00216AE8"/>
    <w:rsid w:val="00216D41"/>
    <w:rsid w:val="00216D56"/>
    <w:rsid w:val="0021742F"/>
    <w:rsid w:val="00217EE9"/>
    <w:rsid w:val="00217F0A"/>
    <w:rsid w:val="00217F22"/>
    <w:rsid w:val="00220500"/>
    <w:rsid w:val="002205AB"/>
    <w:rsid w:val="002209D7"/>
    <w:rsid w:val="00220BF6"/>
    <w:rsid w:val="00221594"/>
    <w:rsid w:val="002219F0"/>
    <w:rsid w:val="00221D90"/>
    <w:rsid w:val="00222AC9"/>
    <w:rsid w:val="00222AD6"/>
    <w:rsid w:val="002230E1"/>
    <w:rsid w:val="00223904"/>
    <w:rsid w:val="00223E02"/>
    <w:rsid w:val="0022434E"/>
    <w:rsid w:val="002245D6"/>
    <w:rsid w:val="002246B0"/>
    <w:rsid w:val="002248B5"/>
    <w:rsid w:val="00224D4F"/>
    <w:rsid w:val="0022506C"/>
    <w:rsid w:val="002251FE"/>
    <w:rsid w:val="002254C3"/>
    <w:rsid w:val="00225CA5"/>
    <w:rsid w:val="00225E3F"/>
    <w:rsid w:val="002264BB"/>
    <w:rsid w:val="00226D57"/>
    <w:rsid w:val="00226E14"/>
    <w:rsid w:val="002275D2"/>
    <w:rsid w:val="00227C4B"/>
    <w:rsid w:val="00227E46"/>
    <w:rsid w:val="00227F44"/>
    <w:rsid w:val="00230493"/>
    <w:rsid w:val="00230BA6"/>
    <w:rsid w:val="00231280"/>
    <w:rsid w:val="0023136C"/>
    <w:rsid w:val="00231484"/>
    <w:rsid w:val="002314ED"/>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402E8"/>
    <w:rsid w:val="00240848"/>
    <w:rsid w:val="00240923"/>
    <w:rsid w:val="00240EF5"/>
    <w:rsid w:val="00240F0B"/>
    <w:rsid w:val="002410C7"/>
    <w:rsid w:val="0024120C"/>
    <w:rsid w:val="002414CC"/>
    <w:rsid w:val="002415BD"/>
    <w:rsid w:val="00241962"/>
    <w:rsid w:val="00241A43"/>
    <w:rsid w:val="00241D80"/>
    <w:rsid w:val="00243513"/>
    <w:rsid w:val="00243F07"/>
    <w:rsid w:val="00244C32"/>
    <w:rsid w:val="00244D1C"/>
    <w:rsid w:val="00244E1F"/>
    <w:rsid w:val="002454B7"/>
    <w:rsid w:val="00245789"/>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C8"/>
    <w:rsid w:val="0025430D"/>
    <w:rsid w:val="00254398"/>
    <w:rsid w:val="00254B95"/>
    <w:rsid w:val="00254D53"/>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4365"/>
    <w:rsid w:val="002648C1"/>
    <w:rsid w:val="0026504E"/>
    <w:rsid w:val="00265611"/>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5DC"/>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6207"/>
    <w:rsid w:val="002863D5"/>
    <w:rsid w:val="00286658"/>
    <w:rsid w:val="0028694F"/>
    <w:rsid w:val="00286E36"/>
    <w:rsid w:val="002901F4"/>
    <w:rsid w:val="002913B8"/>
    <w:rsid w:val="002915B7"/>
    <w:rsid w:val="00291E51"/>
    <w:rsid w:val="002923DB"/>
    <w:rsid w:val="002928F7"/>
    <w:rsid w:val="00292D6B"/>
    <w:rsid w:val="00293F42"/>
    <w:rsid w:val="00293F5E"/>
    <w:rsid w:val="00294064"/>
    <w:rsid w:val="002940DE"/>
    <w:rsid w:val="002941B6"/>
    <w:rsid w:val="002947C2"/>
    <w:rsid w:val="0029481B"/>
    <w:rsid w:val="002954A3"/>
    <w:rsid w:val="00295820"/>
    <w:rsid w:val="00295B7A"/>
    <w:rsid w:val="00295E28"/>
    <w:rsid w:val="0029621D"/>
    <w:rsid w:val="00296B5D"/>
    <w:rsid w:val="00296CC1"/>
    <w:rsid w:val="00296E6B"/>
    <w:rsid w:val="00297451"/>
    <w:rsid w:val="00297A9D"/>
    <w:rsid w:val="002A17A3"/>
    <w:rsid w:val="002A1EF2"/>
    <w:rsid w:val="002A1FAF"/>
    <w:rsid w:val="002A2166"/>
    <w:rsid w:val="002A23C5"/>
    <w:rsid w:val="002A23C8"/>
    <w:rsid w:val="002A2993"/>
    <w:rsid w:val="002A3E86"/>
    <w:rsid w:val="002A41AA"/>
    <w:rsid w:val="002A4264"/>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5DA"/>
    <w:rsid w:val="002B5B27"/>
    <w:rsid w:val="002B5F70"/>
    <w:rsid w:val="002B6720"/>
    <w:rsid w:val="002B6BCD"/>
    <w:rsid w:val="002B6FA8"/>
    <w:rsid w:val="002B7B3E"/>
    <w:rsid w:val="002B7B57"/>
    <w:rsid w:val="002C01E3"/>
    <w:rsid w:val="002C09BA"/>
    <w:rsid w:val="002C2518"/>
    <w:rsid w:val="002C29DE"/>
    <w:rsid w:val="002C35AD"/>
    <w:rsid w:val="002C3755"/>
    <w:rsid w:val="002C3D43"/>
    <w:rsid w:val="002C43AB"/>
    <w:rsid w:val="002C497E"/>
    <w:rsid w:val="002C4A1E"/>
    <w:rsid w:val="002C4F31"/>
    <w:rsid w:val="002C5586"/>
    <w:rsid w:val="002C56D8"/>
    <w:rsid w:val="002C6460"/>
    <w:rsid w:val="002C6938"/>
    <w:rsid w:val="002C6AC2"/>
    <w:rsid w:val="002C6E7C"/>
    <w:rsid w:val="002C6EC6"/>
    <w:rsid w:val="002C76E7"/>
    <w:rsid w:val="002C78FB"/>
    <w:rsid w:val="002D071A"/>
    <w:rsid w:val="002D0777"/>
    <w:rsid w:val="002D1D53"/>
    <w:rsid w:val="002D24EE"/>
    <w:rsid w:val="002D3362"/>
    <w:rsid w:val="002D39A1"/>
    <w:rsid w:val="002D4B20"/>
    <w:rsid w:val="002D4B4A"/>
    <w:rsid w:val="002D4DB5"/>
    <w:rsid w:val="002D4E58"/>
    <w:rsid w:val="002D526B"/>
    <w:rsid w:val="002D53EE"/>
    <w:rsid w:val="002D586C"/>
    <w:rsid w:val="002D5E3C"/>
    <w:rsid w:val="002D5EA7"/>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C54"/>
    <w:rsid w:val="002E4B4B"/>
    <w:rsid w:val="002E5882"/>
    <w:rsid w:val="002E5E13"/>
    <w:rsid w:val="002E6355"/>
    <w:rsid w:val="002E65D4"/>
    <w:rsid w:val="002E6BC0"/>
    <w:rsid w:val="002E719D"/>
    <w:rsid w:val="002E71CE"/>
    <w:rsid w:val="002E77F4"/>
    <w:rsid w:val="002E7BD8"/>
    <w:rsid w:val="002E7D9C"/>
    <w:rsid w:val="002E7DF8"/>
    <w:rsid w:val="002E7FAD"/>
    <w:rsid w:val="002F08B8"/>
    <w:rsid w:val="002F0B8F"/>
    <w:rsid w:val="002F0D89"/>
    <w:rsid w:val="002F10F3"/>
    <w:rsid w:val="002F11FE"/>
    <w:rsid w:val="002F169C"/>
    <w:rsid w:val="002F269A"/>
    <w:rsid w:val="002F2D3B"/>
    <w:rsid w:val="002F2DF1"/>
    <w:rsid w:val="002F3086"/>
    <w:rsid w:val="002F32C4"/>
    <w:rsid w:val="002F35E1"/>
    <w:rsid w:val="002F389A"/>
    <w:rsid w:val="002F41AD"/>
    <w:rsid w:val="002F43FB"/>
    <w:rsid w:val="002F53BD"/>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F87"/>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A65"/>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123A"/>
    <w:rsid w:val="00321B37"/>
    <w:rsid w:val="00321CF9"/>
    <w:rsid w:val="00322018"/>
    <w:rsid w:val="003226DF"/>
    <w:rsid w:val="00322851"/>
    <w:rsid w:val="003229BE"/>
    <w:rsid w:val="00322E09"/>
    <w:rsid w:val="003235FD"/>
    <w:rsid w:val="0032373F"/>
    <w:rsid w:val="003237D9"/>
    <w:rsid w:val="00323876"/>
    <w:rsid w:val="00323B07"/>
    <w:rsid w:val="00323BCF"/>
    <w:rsid w:val="0032413B"/>
    <w:rsid w:val="00324ADB"/>
    <w:rsid w:val="00324EF3"/>
    <w:rsid w:val="00325196"/>
    <w:rsid w:val="00326136"/>
    <w:rsid w:val="003262D8"/>
    <w:rsid w:val="00326527"/>
    <w:rsid w:val="00326780"/>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77F"/>
    <w:rsid w:val="00335D0B"/>
    <w:rsid w:val="00335F7A"/>
    <w:rsid w:val="00335F81"/>
    <w:rsid w:val="0033686C"/>
    <w:rsid w:val="00336A6D"/>
    <w:rsid w:val="00336A98"/>
    <w:rsid w:val="00336EFB"/>
    <w:rsid w:val="0033723D"/>
    <w:rsid w:val="0033755F"/>
    <w:rsid w:val="0033783A"/>
    <w:rsid w:val="00340B71"/>
    <w:rsid w:val="00340CE5"/>
    <w:rsid w:val="00340EBF"/>
    <w:rsid w:val="00340EDD"/>
    <w:rsid w:val="00341459"/>
    <w:rsid w:val="003414D9"/>
    <w:rsid w:val="003418C2"/>
    <w:rsid w:val="00341ADA"/>
    <w:rsid w:val="00341FE7"/>
    <w:rsid w:val="0034248E"/>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93"/>
    <w:rsid w:val="00350E88"/>
    <w:rsid w:val="00350F2A"/>
    <w:rsid w:val="00351204"/>
    <w:rsid w:val="00351816"/>
    <w:rsid w:val="00351D18"/>
    <w:rsid w:val="003527B2"/>
    <w:rsid w:val="003529B8"/>
    <w:rsid w:val="00352D4E"/>
    <w:rsid w:val="00352E7D"/>
    <w:rsid w:val="00352EED"/>
    <w:rsid w:val="00353C93"/>
    <w:rsid w:val="00354249"/>
    <w:rsid w:val="0035466A"/>
    <w:rsid w:val="00354B6C"/>
    <w:rsid w:val="0035574C"/>
    <w:rsid w:val="003557B4"/>
    <w:rsid w:val="0035592E"/>
    <w:rsid w:val="00355B94"/>
    <w:rsid w:val="00355CCD"/>
    <w:rsid w:val="00355E14"/>
    <w:rsid w:val="0035625A"/>
    <w:rsid w:val="0035628B"/>
    <w:rsid w:val="003566FF"/>
    <w:rsid w:val="00356AE9"/>
    <w:rsid w:val="00356C29"/>
    <w:rsid w:val="00357B38"/>
    <w:rsid w:val="00360163"/>
    <w:rsid w:val="0036082C"/>
    <w:rsid w:val="00360920"/>
    <w:rsid w:val="00360CF3"/>
    <w:rsid w:val="003610D3"/>
    <w:rsid w:val="0036125F"/>
    <w:rsid w:val="003617B1"/>
    <w:rsid w:val="0036194D"/>
    <w:rsid w:val="00361B43"/>
    <w:rsid w:val="00362438"/>
    <w:rsid w:val="00362632"/>
    <w:rsid w:val="00362CA4"/>
    <w:rsid w:val="0036344B"/>
    <w:rsid w:val="00363852"/>
    <w:rsid w:val="00363A78"/>
    <w:rsid w:val="00363AD3"/>
    <w:rsid w:val="00364053"/>
    <w:rsid w:val="003648ED"/>
    <w:rsid w:val="00364A9B"/>
    <w:rsid w:val="00364D17"/>
    <w:rsid w:val="00364D7D"/>
    <w:rsid w:val="003656DA"/>
    <w:rsid w:val="00365743"/>
    <w:rsid w:val="00365767"/>
    <w:rsid w:val="00366A81"/>
    <w:rsid w:val="00366B97"/>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2108"/>
    <w:rsid w:val="003821C7"/>
    <w:rsid w:val="00382287"/>
    <w:rsid w:val="003822CC"/>
    <w:rsid w:val="00382335"/>
    <w:rsid w:val="00382868"/>
    <w:rsid w:val="00382D5F"/>
    <w:rsid w:val="00382FB9"/>
    <w:rsid w:val="00383469"/>
    <w:rsid w:val="003837E4"/>
    <w:rsid w:val="00383A46"/>
    <w:rsid w:val="00384028"/>
    <w:rsid w:val="003842BC"/>
    <w:rsid w:val="00384501"/>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C80"/>
    <w:rsid w:val="0039348B"/>
    <w:rsid w:val="00393614"/>
    <w:rsid w:val="003936F2"/>
    <w:rsid w:val="00393803"/>
    <w:rsid w:val="00393873"/>
    <w:rsid w:val="003939D1"/>
    <w:rsid w:val="00394443"/>
    <w:rsid w:val="003944D0"/>
    <w:rsid w:val="00394550"/>
    <w:rsid w:val="00394D01"/>
    <w:rsid w:val="003950DD"/>
    <w:rsid w:val="0039517B"/>
    <w:rsid w:val="003951DB"/>
    <w:rsid w:val="00395A69"/>
    <w:rsid w:val="00395F3C"/>
    <w:rsid w:val="0039607A"/>
    <w:rsid w:val="0039612B"/>
    <w:rsid w:val="00396825"/>
    <w:rsid w:val="00397B4D"/>
    <w:rsid w:val="00397D43"/>
    <w:rsid w:val="003A08A7"/>
    <w:rsid w:val="003A1B19"/>
    <w:rsid w:val="003A1B2D"/>
    <w:rsid w:val="003A330F"/>
    <w:rsid w:val="003A3793"/>
    <w:rsid w:val="003A469E"/>
    <w:rsid w:val="003A471B"/>
    <w:rsid w:val="003A4876"/>
    <w:rsid w:val="003A48D5"/>
    <w:rsid w:val="003A5662"/>
    <w:rsid w:val="003A58F4"/>
    <w:rsid w:val="003A5AB5"/>
    <w:rsid w:val="003A609A"/>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C54"/>
    <w:rsid w:val="003C23ED"/>
    <w:rsid w:val="003C2545"/>
    <w:rsid w:val="003C29FD"/>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356D"/>
    <w:rsid w:val="003D37D2"/>
    <w:rsid w:val="003D414F"/>
    <w:rsid w:val="003D4523"/>
    <w:rsid w:val="003D4826"/>
    <w:rsid w:val="003D4FFC"/>
    <w:rsid w:val="003D508F"/>
    <w:rsid w:val="003D50E0"/>
    <w:rsid w:val="003D5A21"/>
    <w:rsid w:val="003D5C37"/>
    <w:rsid w:val="003D6447"/>
    <w:rsid w:val="003D795F"/>
    <w:rsid w:val="003D7D61"/>
    <w:rsid w:val="003E0202"/>
    <w:rsid w:val="003E074F"/>
    <w:rsid w:val="003E0B68"/>
    <w:rsid w:val="003E1296"/>
    <w:rsid w:val="003E162A"/>
    <w:rsid w:val="003E203F"/>
    <w:rsid w:val="003E2670"/>
    <w:rsid w:val="003E2A32"/>
    <w:rsid w:val="003E3722"/>
    <w:rsid w:val="003E3882"/>
    <w:rsid w:val="003E3BB1"/>
    <w:rsid w:val="003E4724"/>
    <w:rsid w:val="003E5859"/>
    <w:rsid w:val="003E5CD9"/>
    <w:rsid w:val="003E659A"/>
    <w:rsid w:val="003E67A1"/>
    <w:rsid w:val="003E67BE"/>
    <w:rsid w:val="003E685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770"/>
    <w:rsid w:val="003F4C6F"/>
    <w:rsid w:val="003F4E30"/>
    <w:rsid w:val="003F509D"/>
    <w:rsid w:val="003F573C"/>
    <w:rsid w:val="003F6400"/>
    <w:rsid w:val="003F6BAD"/>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5097"/>
    <w:rsid w:val="00405597"/>
    <w:rsid w:val="004061CC"/>
    <w:rsid w:val="00406346"/>
    <w:rsid w:val="004063AE"/>
    <w:rsid w:val="004065E5"/>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B81"/>
    <w:rsid w:val="00414DE3"/>
    <w:rsid w:val="00415154"/>
    <w:rsid w:val="00415298"/>
    <w:rsid w:val="0041575B"/>
    <w:rsid w:val="00415D8B"/>
    <w:rsid w:val="0041639D"/>
    <w:rsid w:val="004163E0"/>
    <w:rsid w:val="0041657B"/>
    <w:rsid w:val="00416AA0"/>
    <w:rsid w:val="00417836"/>
    <w:rsid w:val="004201F9"/>
    <w:rsid w:val="0042030F"/>
    <w:rsid w:val="0042092C"/>
    <w:rsid w:val="0042164F"/>
    <w:rsid w:val="00421EB0"/>
    <w:rsid w:val="00422956"/>
    <w:rsid w:val="00422B31"/>
    <w:rsid w:val="00423618"/>
    <w:rsid w:val="004239DF"/>
    <w:rsid w:val="00423B88"/>
    <w:rsid w:val="00423FD6"/>
    <w:rsid w:val="00424446"/>
    <w:rsid w:val="004246C0"/>
    <w:rsid w:val="004257EF"/>
    <w:rsid w:val="00425AD1"/>
    <w:rsid w:val="00426080"/>
    <w:rsid w:val="0042638F"/>
    <w:rsid w:val="004268EC"/>
    <w:rsid w:val="00426F33"/>
    <w:rsid w:val="004272E5"/>
    <w:rsid w:val="004279D1"/>
    <w:rsid w:val="00430324"/>
    <w:rsid w:val="00430483"/>
    <w:rsid w:val="0043090C"/>
    <w:rsid w:val="00430CAC"/>
    <w:rsid w:val="0043156E"/>
    <w:rsid w:val="00431997"/>
    <w:rsid w:val="00431BEF"/>
    <w:rsid w:val="00431F3D"/>
    <w:rsid w:val="00432212"/>
    <w:rsid w:val="00432591"/>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28C3"/>
    <w:rsid w:val="0044292A"/>
    <w:rsid w:val="00442B72"/>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BF6"/>
    <w:rsid w:val="00450C01"/>
    <w:rsid w:val="004514B4"/>
    <w:rsid w:val="004518E0"/>
    <w:rsid w:val="00452487"/>
    <w:rsid w:val="004529AD"/>
    <w:rsid w:val="00452BB4"/>
    <w:rsid w:val="00452D22"/>
    <w:rsid w:val="00453086"/>
    <w:rsid w:val="00453204"/>
    <w:rsid w:val="004549EC"/>
    <w:rsid w:val="00454BDE"/>
    <w:rsid w:val="00454C79"/>
    <w:rsid w:val="00454D5C"/>
    <w:rsid w:val="00456601"/>
    <w:rsid w:val="00456656"/>
    <w:rsid w:val="00456E9B"/>
    <w:rsid w:val="00457955"/>
    <w:rsid w:val="00457FF1"/>
    <w:rsid w:val="00461450"/>
    <w:rsid w:val="00461BFD"/>
    <w:rsid w:val="00461C89"/>
    <w:rsid w:val="00461D1B"/>
    <w:rsid w:val="00461DBE"/>
    <w:rsid w:val="004622F2"/>
    <w:rsid w:val="00462353"/>
    <w:rsid w:val="004625F7"/>
    <w:rsid w:val="00462940"/>
    <w:rsid w:val="00462A57"/>
    <w:rsid w:val="004631AC"/>
    <w:rsid w:val="00463759"/>
    <w:rsid w:val="00463D83"/>
    <w:rsid w:val="00463EC0"/>
    <w:rsid w:val="0046566A"/>
    <w:rsid w:val="00465AE3"/>
    <w:rsid w:val="00466188"/>
    <w:rsid w:val="0046639A"/>
    <w:rsid w:val="00466525"/>
    <w:rsid w:val="004666B6"/>
    <w:rsid w:val="004673A8"/>
    <w:rsid w:val="004676DC"/>
    <w:rsid w:val="004679A1"/>
    <w:rsid w:val="00467B58"/>
    <w:rsid w:val="0047039F"/>
    <w:rsid w:val="00470EA7"/>
    <w:rsid w:val="00471190"/>
    <w:rsid w:val="004711EF"/>
    <w:rsid w:val="00471B0B"/>
    <w:rsid w:val="00472523"/>
    <w:rsid w:val="00472760"/>
    <w:rsid w:val="00473001"/>
    <w:rsid w:val="004737E6"/>
    <w:rsid w:val="004744F8"/>
    <w:rsid w:val="00474557"/>
    <w:rsid w:val="0047468C"/>
    <w:rsid w:val="00474E3C"/>
    <w:rsid w:val="0047518D"/>
    <w:rsid w:val="004757B6"/>
    <w:rsid w:val="00475B51"/>
    <w:rsid w:val="00475E71"/>
    <w:rsid w:val="00476284"/>
    <w:rsid w:val="0047656F"/>
    <w:rsid w:val="004765C2"/>
    <w:rsid w:val="004774B7"/>
    <w:rsid w:val="00477558"/>
    <w:rsid w:val="0047795F"/>
    <w:rsid w:val="004805A2"/>
    <w:rsid w:val="004807C8"/>
    <w:rsid w:val="00480B2A"/>
    <w:rsid w:val="004812BC"/>
    <w:rsid w:val="00481372"/>
    <w:rsid w:val="004819D9"/>
    <w:rsid w:val="00481E0A"/>
    <w:rsid w:val="00482067"/>
    <w:rsid w:val="00482559"/>
    <w:rsid w:val="004835A3"/>
    <w:rsid w:val="0048415E"/>
    <w:rsid w:val="00485C7E"/>
    <w:rsid w:val="00485F39"/>
    <w:rsid w:val="004862EF"/>
    <w:rsid w:val="00486982"/>
    <w:rsid w:val="004879E3"/>
    <w:rsid w:val="00487D57"/>
    <w:rsid w:val="00490145"/>
    <w:rsid w:val="00490287"/>
    <w:rsid w:val="00490E77"/>
    <w:rsid w:val="00490FAB"/>
    <w:rsid w:val="00491706"/>
    <w:rsid w:val="0049171C"/>
    <w:rsid w:val="00491B36"/>
    <w:rsid w:val="00491C07"/>
    <w:rsid w:val="00492404"/>
    <w:rsid w:val="00492B50"/>
    <w:rsid w:val="00492BA5"/>
    <w:rsid w:val="00493115"/>
    <w:rsid w:val="004932B9"/>
    <w:rsid w:val="004939D8"/>
    <w:rsid w:val="0049401B"/>
    <w:rsid w:val="004942FC"/>
    <w:rsid w:val="004943F0"/>
    <w:rsid w:val="00494FA2"/>
    <w:rsid w:val="00495552"/>
    <w:rsid w:val="004956C4"/>
    <w:rsid w:val="00495749"/>
    <w:rsid w:val="00495A00"/>
    <w:rsid w:val="00495E61"/>
    <w:rsid w:val="004961DF"/>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0AD"/>
    <w:rsid w:val="004B242C"/>
    <w:rsid w:val="004B2D8E"/>
    <w:rsid w:val="004B2F3B"/>
    <w:rsid w:val="004B334B"/>
    <w:rsid w:val="004B34BD"/>
    <w:rsid w:val="004B48E7"/>
    <w:rsid w:val="004B5067"/>
    <w:rsid w:val="004B519D"/>
    <w:rsid w:val="004B544F"/>
    <w:rsid w:val="004B5BB1"/>
    <w:rsid w:val="004B5E9B"/>
    <w:rsid w:val="004B60BF"/>
    <w:rsid w:val="004B65E7"/>
    <w:rsid w:val="004B68BB"/>
    <w:rsid w:val="004B690C"/>
    <w:rsid w:val="004B73EB"/>
    <w:rsid w:val="004B783F"/>
    <w:rsid w:val="004B7F4D"/>
    <w:rsid w:val="004C01FE"/>
    <w:rsid w:val="004C1553"/>
    <w:rsid w:val="004C1B00"/>
    <w:rsid w:val="004C1CAD"/>
    <w:rsid w:val="004C219A"/>
    <w:rsid w:val="004C28B6"/>
    <w:rsid w:val="004C2A37"/>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10D7"/>
    <w:rsid w:val="004D11A2"/>
    <w:rsid w:val="004D21E4"/>
    <w:rsid w:val="004D2587"/>
    <w:rsid w:val="004D27CA"/>
    <w:rsid w:val="004D3ADB"/>
    <w:rsid w:val="004D3C23"/>
    <w:rsid w:val="004D3D59"/>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0911"/>
    <w:rsid w:val="004E14C9"/>
    <w:rsid w:val="004E23A7"/>
    <w:rsid w:val="004E2554"/>
    <w:rsid w:val="004E289D"/>
    <w:rsid w:val="004E2C5F"/>
    <w:rsid w:val="004E2ED8"/>
    <w:rsid w:val="004E2F89"/>
    <w:rsid w:val="004E31BC"/>
    <w:rsid w:val="004E3817"/>
    <w:rsid w:val="004E4000"/>
    <w:rsid w:val="004E4A35"/>
    <w:rsid w:val="004E5418"/>
    <w:rsid w:val="004E585B"/>
    <w:rsid w:val="004E6A4E"/>
    <w:rsid w:val="004E6B02"/>
    <w:rsid w:val="004E70A9"/>
    <w:rsid w:val="004E76F5"/>
    <w:rsid w:val="004F0970"/>
    <w:rsid w:val="004F16E2"/>
    <w:rsid w:val="004F180E"/>
    <w:rsid w:val="004F183F"/>
    <w:rsid w:val="004F1C0A"/>
    <w:rsid w:val="004F21EE"/>
    <w:rsid w:val="004F2945"/>
    <w:rsid w:val="004F2E91"/>
    <w:rsid w:val="004F356C"/>
    <w:rsid w:val="004F4710"/>
    <w:rsid w:val="004F49AA"/>
    <w:rsid w:val="004F49C3"/>
    <w:rsid w:val="004F4A26"/>
    <w:rsid w:val="004F52E1"/>
    <w:rsid w:val="004F5AE9"/>
    <w:rsid w:val="004F5AEC"/>
    <w:rsid w:val="004F6274"/>
    <w:rsid w:val="004F6373"/>
    <w:rsid w:val="004F6E37"/>
    <w:rsid w:val="00500764"/>
    <w:rsid w:val="0050101A"/>
    <w:rsid w:val="0050192C"/>
    <w:rsid w:val="00501A5B"/>
    <w:rsid w:val="00501EEC"/>
    <w:rsid w:val="00502279"/>
    <w:rsid w:val="00502710"/>
    <w:rsid w:val="00502784"/>
    <w:rsid w:val="00502C94"/>
    <w:rsid w:val="00502CCC"/>
    <w:rsid w:val="00503216"/>
    <w:rsid w:val="00503307"/>
    <w:rsid w:val="00503D5E"/>
    <w:rsid w:val="00503E57"/>
    <w:rsid w:val="00503ECC"/>
    <w:rsid w:val="00504B82"/>
    <w:rsid w:val="00504F5B"/>
    <w:rsid w:val="00504F65"/>
    <w:rsid w:val="00505094"/>
    <w:rsid w:val="00505397"/>
    <w:rsid w:val="00505528"/>
    <w:rsid w:val="005059E2"/>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E5E"/>
    <w:rsid w:val="00513006"/>
    <w:rsid w:val="005135EA"/>
    <w:rsid w:val="00513698"/>
    <w:rsid w:val="0051390A"/>
    <w:rsid w:val="00514955"/>
    <w:rsid w:val="00514A36"/>
    <w:rsid w:val="00514ABA"/>
    <w:rsid w:val="00514B76"/>
    <w:rsid w:val="00514C5A"/>
    <w:rsid w:val="00514C6D"/>
    <w:rsid w:val="00514D8A"/>
    <w:rsid w:val="00514F6B"/>
    <w:rsid w:val="00515F02"/>
    <w:rsid w:val="00516146"/>
    <w:rsid w:val="005161A9"/>
    <w:rsid w:val="00516384"/>
    <w:rsid w:val="005173F8"/>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5BF0"/>
    <w:rsid w:val="00525C2F"/>
    <w:rsid w:val="00526539"/>
    <w:rsid w:val="00526671"/>
    <w:rsid w:val="005268A4"/>
    <w:rsid w:val="00526A6A"/>
    <w:rsid w:val="00526EE3"/>
    <w:rsid w:val="0053056F"/>
    <w:rsid w:val="00530791"/>
    <w:rsid w:val="0053100C"/>
    <w:rsid w:val="005311DD"/>
    <w:rsid w:val="00531227"/>
    <w:rsid w:val="00531682"/>
    <w:rsid w:val="005317BE"/>
    <w:rsid w:val="005320E2"/>
    <w:rsid w:val="00532738"/>
    <w:rsid w:val="00532F87"/>
    <w:rsid w:val="005332D7"/>
    <w:rsid w:val="0053355C"/>
    <w:rsid w:val="00533BA8"/>
    <w:rsid w:val="00533DD2"/>
    <w:rsid w:val="005346E8"/>
    <w:rsid w:val="0053569A"/>
    <w:rsid w:val="00535702"/>
    <w:rsid w:val="0053587E"/>
    <w:rsid w:val="00536850"/>
    <w:rsid w:val="00536AC8"/>
    <w:rsid w:val="00537430"/>
    <w:rsid w:val="005374E4"/>
    <w:rsid w:val="00540611"/>
    <w:rsid w:val="005411E6"/>
    <w:rsid w:val="00541579"/>
    <w:rsid w:val="005424BE"/>
    <w:rsid w:val="0054291B"/>
    <w:rsid w:val="005432C0"/>
    <w:rsid w:val="0054352E"/>
    <w:rsid w:val="00543DDC"/>
    <w:rsid w:val="0054466D"/>
    <w:rsid w:val="005447C4"/>
    <w:rsid w:val="005452E2"/>
    <w:rsid w:val="00545F72"/>
    <w:rsid w:val="005468DA"/>
    <w:rsid w:val="005468EB"/>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881"/>
    <w:rsid w:val="00564982"/>
    <w:rsid w:val="00564ADF"/>
    <w:rsid w:val="0056558E"/>
    <w:rsid w:val="00565B38"/>
    <w:rsid w:val="005662C6"/>
    <w:rsid w:val="00566558"/>
    <w:rsid w:val="00566B9A"/>
    <w:rsid w:val="00566FFF"/>
    <w:rsid w:val="00567731"/>
    <w:rsid w:val="00567745"/>
    <w:rsid w:val="0056778F"/>
    <w:rsid w:val="005677B6"/>
    <w:rsid w:val="0057008B"/>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20D7"/>
    <w:rsid w:val="00582809"/>
    <w:rsid w:val="005830F1"/>
    <w:rsid w:val="0058339B"/>
    <w:rsid w:val="005836AF"/>
    <w:rsid w:val="00583C9D"/>
    <w:rsid w:val="00583E55"/>
    <w:rsid w:val="0058454D"/>
    <w:rsid w:val="00584B9B"/>
    <w:rsid w:val="00584BBE"/>
    <w:rsid w:val="0058532E"/>
    <w:rsid w:val="00585458"/>
    <w:rsid w:val="005854E4"/>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D23"/>
    <w:rsid w:val="00594762"/>
    <w:rsid w:val="00594FE4"/>
    <w:rsid w:val="00595820"/>
    <w:rsid w:val="00595D9B"/>
    <w:rsid w:val="00596604"/>
    <w:rsid w:val="00596E62"/>
    <w:rsid w:val="00596F26"/>
    <w:rsid w:val="00597401"/>
    <w:rsid w:val="00597C42"/>
    <w:rsid w:val="00597D00"/>
    <w:rsid w:val="005A1B4F"/>
    <w:rsid w:val="005A1E82"/>
    <w:rsid w:val="005A1E97"/>
    <w:rsid w:val="005A2454"/>
    <w:rsid w:val="005A27A8"/>
    <w:rsid w:val="005A2A9B"/>
    <w:rsid w:val="005A3CCD"/>
    <w:rsid w:val="005A40A1"/>
    <w:rsid w:val="005A445E"/>
    <w:rsid w:val="005A4A78"/>
    <w:rsid w:val="005A5610"/>
    <w:rsid w:val="005A65EE"/>
    <w:rsid w:val="005A684B"/>
    <w:rsid w:val="005A6AB6"/>
    <w:rsid w:val="005A6AD0"/>
    <w:rsid w:val="005B05C2"/>
    <w:rsid w:val="005B0B42"/>
    <w:rsid w:val="005B0FD6"/>
    <w:rsid w:val="005B15C2"/>
    <w:rsid w:val="005B1AA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412"/>
    <w:rsid w:val="005B7577"/>
    <w:rsid w:val="005B7CF7"/>
    <w:rsid w:val="005B7FE3"/>
    <w:rsid w:val="005C0023"/>
    <w:rsid w:val="005C0234"/>
    <w:rsid w:val="005C0348"/>
    <w:rsid w:val="005C0641"/>
    <w:rsid w:val="005C0ACD"/>
    <w:rsid w:val="005C0FCA"/>
    <w:rsid w:val="005C107E"/>
    <w:rsid w:val="005C187D"/>
    <w:rsid w:val="005C20D4"/>
    <w:rsid w:val="005C2330"/>
    <w:rsid w:val="005C25A5"/>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39C"/>
    <w:rsid w:val="005E63FD"/>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FDC"/>
    <w:rsid w:val="006010A4"/>
    <w:rsid w:val="00602E3A"/>
    <w:rsid w:val="00603302"/>
    <w:rsid w:val="006034A7"/>
    <w:rsid w:val="00603F0A"/>
    <w:rsid w:val="00604275"/>
    <w:rsid w:val="00604673"/>
    <w:rsid w:val="00604847"/>
    <w:rsid w:val="00604D12"/>
    <w:rsid w:val="006054DE"/>
    <w:rsid w:val="00606669"/>
    <w:rsid w:val="00606DD8"/>
    <w:rsid w:val="0060712C"/>
    <w:rsid w:val="00607AAD"/>
    <w:rsid w:val="00607B9B"/>
    <w:rsid w:val="00607C77"/>
    <w:rsid w:val="00607D29"/>
    <w:rsid w:val="00610135"/>
    <w:rsid w:val="00610A52"/>
    <w:rsid w:val="00610AE7"/>
    <w:rsid w:val="00611234"/>
    <w:rsid w:val="0061127B"/>
    <w:rsid w:val="0061131E"/>
    <w:rsid w:val="0061155D"/>
    <w:rsid w:val="00611578"/>
    <w:rsid w:val="006118A0"/>
    <w:rsid w:val="00612298"/>
    <w:rsid w:val="0061247F"/>
    <w:rsid w:val="006127A9"/>
    <w:rsid w:val="00612863"/>
    <w:rsid w:val="006134E7"/>
    <w:rsid w:val="00613D72"/>
    <w:rsid w:val="006140F7"/>
    <w:rsid w:val="0061448A"/>
    <w:rsid w:val="0061502F"/>
    <w:rsid w:val="006151BB"/>
    <w:rsid w:val="0061557A"/>
    <w:rsid w:val="0061574F"/>
    <w:rsid w:val="006159E4"/>
    <w:rsid w:val="00617162"/>
    <w:rsid w:val="00617417"/>
    <w:rsid w:val="006177D1"/>
    <w:rsid w:val="00617861"/>
    <w:rsid w:val="006202F7"/>
    <w:rsid w:val="0062088A"/>
    <w:rsid w:val="0062093A"/>
    <w:rsid w:val="00621C92"/>
    <w:rsid w:val="0062322C"/>
    <w:rsid w:val="006240F9"/>
    <w:rsid w:val="006243CF"/>
    <w:rsid w:val="00626A56"/>
    <w:rsid w:val="00626BE3"/>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61"/>
    <w:rsid w:val="0063217E"/>
    <w:rsid w:val="0063224E"/>
    <w:rsid w:val="00632D15"/>
    <w:rsid w:val="00632E8A"/>
    <w:rsid w:val="006331FF"/>
    <w:rsid w:val="00633363"/>
    <w:rsid w:val="00633CB5"/>
    <w:rsid w:val="00634B66"/>
    <w:rsid w:val="00634BD4"/>
    <w:rsid w:val="0063525A"/>
    <w:rsid w:val="00635369"/>
    <w:rsid w:val="00635498"/>
    <w:rsid w:val="006358BA"/>
    <w:rsid w:val="006358D6"/>
    <w:rsid w:val="006358FE"/>
    <w:rsid w:val="006365C0"/>
    <w:rsid w:val="006368D3"/>
    <w:rsid w:val="00637A9A"/>
    <w:rsid w:val="006405FA"/>
    <w:rsid w:val="00640DFF"/>
    <w:rsid w:val="006415C2"/>
    <w:rsid w:val="006418C7"/>
    <w:rsid w:val="0064198C"/>
    <w:rsid w:val="00641BD1"/>
    <w:rsid w:val="00642066"/>
    <w:rsid w:val="006424E5"/>
    <w:rsid w:val="00642D04"/>
    <w:rsid w:val="006430DD"/>
    <w:rsid w:val="006431B2"/>
    <w:rsid w:val="00643828"/>
    <w:rsid w:val="00643FC5"/>
    <w:rsid w:val="00644570"/>
    <w:rsid w:val="006446A5"/>
    <w:rsid w:val="00644AE7"/>
    <w:rsid w:val="00644BD6"/>
    <w:rsid w:val="00644E96"/>
    <w:rsid w:val="0064558D"/>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4B00"/>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FB7"/>
    <w:rsid w:val="006721E7"/>
    <w:rsid w:val="006728A8"/>
    <w:rsid w:val="00672A29"/>
    <w:rsid w:val="00673291"/>
    <w:rsid w:val="00673482"/>
    <w:rsid w:val="006740EF"/>
    <w:rsid w:val="006750FA"/>
    <w:rsid w:val="0067531F"/>
    <w:rsid w:val="00675472"/>
    <w:rsid w:val="006755C2"/>
    <w:rsid w:val="00675884"/>
    <w:rsid w:val="00675BE2"/>
    <w:rsid w:val="00675C27"/>
    <w:rsid w:val="00675F92"/>
    <w:rsid w:val="0067691F"/>
    <w:rsid w:val="006772B6"/>
    <w:rsid w:val="00677371"/>
    <w:rsid w:val="0067751B"/>
    <w:rsid w:val="0067772D"/>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6E"/>
    <w:rsid w:val="006864B7"/>
    <w:rsid w:val="00686B9E"/>
    <w:rsid w:val="00687066"/>
    <w:rsid w:val="006876C7"/>
    <w:rsid w:val="006878F3"/>
    <w:rsid w:val="0068794C"/>
    <w:rsid w:val="00690388"/>
    <w:rsid w:val="00690875"/>
    <w:rsid w:val="0069095D"/>
    <w:rsid w:val="006909D5"/>
    <w:rsid w:val="00690B50"/>
    <w:rsid w:val="00690BA3"/>
    <w:rsid w:val="00690EB6"/>
    <w:rsid w:val="0069121E"/>
    <w:rsid w:val="00691346"/>
    <w:rsid w:val="00691BD5"/>
    <w:rsid w:val="006920DB"/>
    <w:rsid w:val="006925E6"/>
    <w:rsid w:val="006926BC"/>
    <w:rsid w:val="00692D5B"/>
    <w:rsid w:val="006930A3"/>
    <w:rsid w:val="006933C9"/>
    <w:rsid w:val="0069348D"/>
    <w:rsid w:val="00694383"/>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60"/>
    <w:rsid w:val="006A3874"/>
    <w:rsid w:val="006A395C"/>
    <w:rsid w:val="006A404F"/>
    <w:rsid w:val="006A4189"/>
    <w:rsid w:val="006A46A7"/>
    <w:rsid w:val="006A4A4E"/>
    <w:rsid w:val="006A4BF1"/>
    <w:rsid w:val="006A5591"/>
    <w:rsid w:val="006A5C86"/>
    <w:rsid w:val="006A60DA"/>
    <w:rsid w:val="006A657D"/>
    <w:rsid w:val="006A6F03"/>
    <w:rsid w:val="006A7104"/>
    <w:rsid w:val="006A72BC"/>
    <w:rsid w:val="006A7836"/>
    <w:rsid w:val="006A7C9F"/>
    <w:rsid w:val="006A7D73"/>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99F"/>
    <w:rsid w:val="006B5B4A"/>
    <w:rsid w:val="006B5BDC"/>
    <w:rsid w:val="006B5E26"/>
    <w:rsid w:val="006B65E5"/>
    <w:rsid w:val="006B69EA"/>
    <w:rsid w:val="006B6B17"/>
    <w:rsid w:val="006B7602"/>
    <w:rsid w:val="006B76D9"/>
    <w:rsid w:val="006B77EA"/>
    <w:rsid w:val="006C146A"/>
    <w:rsid w:val="006C1FA5"/>
    <w:rsid w:val="006C252A"/>
    <w:rsid w:val="006C2711"/>
    <w:rsid w:val="006C271D"/>
    <w:rsid w:val="006C2B8C"/>
    <w:rsid w:val="006C316D"/>
    <w:rsid w:val="006C3804"/>
    <w:rsid w:val="006C3E81"/>
    <w:rsid w:val="006C3F0A"/>
    <w:rsid w:val="006C43FA"/>
    <w:rsid w:val="006C494D"/>
    <w:rsid w:val="006C5272"/>
    <w:rsid w:val="006C53AF"/>
    <w:rsid w:val="006C544C"/>
    <w:rsid w:val="006C5695"/>
    <w:rsid w:val="006C59F3"/>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E48"/>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16A7"/>
    <w:rsid w:val="006E3162"/>
    <w:rsid w:val="006E3403"/>
    <w:rsid w:val="006E3408"/>
    <w:rsid w:val="006E399B"/>
    <w:rsid w:val="006E3A57"/>
    <w:rsid w:val="006E3C7B"/>
    <w:rsid w:val="006E4047"/>
    <w:rsid w:val="006E47CF"/>
    <w:rsid w:val="006E54E1"/>
    <w:rsid w:val="006E5C1E"/>
    <w:rsid w:val="006E632F"/>
    <w:rsid w:val="006E662D"/>
    <w:rsid w:val="006E6697"/>
    <w:rsid w:val="006E6C23"/>
    <w:rsid w:val="006E72D4"/>
    <w:rsid w:val="006E73BD"/>
    <w:rsid w:val="006E7DB8"/>
    <w:rsid w:val="006E7F17"/>
    <w:rsid w:val="006F030F"/>
    <w:rsid w:val="006F0AB3"/>
    <w:rsid w:val="006F1072"/>
    <w:rsid w:val="006F1381"/>
    <w:rsid w:val="006F13D8"/>
    <w:rsid w:val="006F158E"/>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A64"/>
    <w:rsid w:val="006F73DC"/>
    <w:rsid w:val="006F771D"/>
    <w:rsid w:val="006F790F"/>
    <w:rsid w:val="007002D7"/>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70F5"/>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909"/>
    <w:rsid w:val="00716B79"/>
    <w:rsid w:val="00717DA6"/>
    <w:rsid w:val="00717F55"/>
    <w:rsid w:val="00720226"/>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932"/>
    <w:rsid w:val="00745A6F"/>
    <w:rsid w:val="0074607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609"/>
    <w:rsid w:val="00752990"/>
    <w:rsid w:val="00752B7C"/>
    <w:rsid w:val="007530A6"/>
    <w:rsid w:val="00753156"/>
    <w:rsid w:val="00754029"/>
    <w:rsid w:val="007540CE"/>
    <w:rsid w:val="00754414"/>
    <w:rsid w:val="007549E8"/>
    <w:rsid w:val="00754A12"/>
    <w:rsid w:val="00754FA9"/>
    <w:rsid w:val="00755668"/>
    <w:rsid w:val="0075603F"/>
    <w:rsid w:val="007561F9"/>
    <w:rsid w:val="00756E3A"/>
    <w:rsid w:val="007571C5"/>
    <w:rsid w:val="0075724A"/>
    <w:rsid w:val="0075777D"/>
    <w:rsid w:val="007605E9"/>
    <w:rsid w:val="00760A44"/>
    <w:rsid w:val="0076167D"/>
    <w:rsid w:val="007619AD"/>
    <w:rsid w:val="00761F36"/>
    <w:rsid w:val="00762107"/>
    <w:rsid w:val="00762A22"/>
    <w:rsid w:val="007633C5"/>
    <w:rsid w:val="00764778"/>
    <w:rsid w:val="00765421"/>
    <w:rsid w:val="0076542F"/>
    <w:rsid w:val="0076546D"/>
    <w:rsid w:val="00765B99"/>
    <w:rsid w:val="00766479"/>
    <w:rsid w:val="00766A2B"/>
    <w:rsid w:val="00766ED9"/>
    <w:rsid w:val="007670F0"/>
    <w:rsid w:val="007675B3"/>
    <w:rsid w:val="00770C60"/>
    <w:rsid w:val="00770E65"/>
    <w:rsid w:val="00770E78"/>
    <w:rsid w:val="00771D69"/>
    <w:rsid w:val="007726A7"/>
    <w:rsid w:val="007726F1"/>
    <w:rsid w:val="0077302C"/>
    <w:rsid w:val="00773BFF"/>
    <w:rsid w:val="00774631"/>
    <w:rsid w:val="007758C4"/>
    <w:rsid w:val="00775C1B"/>
    <w:rsid w:val="00775C6D"/>
    <w:rsid w:val="00776DF4"/>
    <w:rsid w:val="00777FEA"/>
    <w:rsid w:val="00780234"/>
    <w:rsid w:val="00780611"/>
    <w:rsid w:val="00780B2A"/>
    <w:rsid w:val="00780D9A"/>
    <w:rsid w:val="007810AF"/>
    <w:rsid w:val="00781254"/>
    <w:rsid w:val="00781749"/>
    <w:rsid w:val="007832CA"/>
    <w:rsid w:val="0078393C"/>
    <w:rsid w:val="00783988"/>
    <w:rsid w:val="00783A89"/>
    <w:rsid w:val="007848B7"/>
    <w:rsid w:val="0078495F"/>
    <w:rsid w:val="007854CE"/>
    <w:rsid w:val="007857D8"/>
    <w:rsid w:val="00786000"/>
    <w:rsid w:val="0078600D"/>
    <w:rsid w:val="0078603F"/>
    <w:rsid w:val="00786111"/>
    <w:rsid w:val="00786315"/>
    <w:rsid w:val="00786356"/>
    <w:rsid w:val="0078658B"/>
    <w:rsid w:val="00786A72"/>
    <w:rsid w:val="00786FB4"/>
    <w:rsid w:val="00787980"/>
    <w:rsid w:val="00787E3B"/>
    <w:rsid w:val="00787E54"/>
    <w:rsid w:val="007908BA"/>
    <w:rsid w:val="00790920"/>
    <w:rsid w:val="00790C76"/>
    <w:rsid w:val="00790E56"/>
    <w:rsid w:val="00791189"/>
    <w:rsid w:val="007914F7"/>
    <w:rsid w:val="00791529"/>
    <w:rsid w:val="0079173E"/>
    <w:rsid w:val="00791CB5"/>
    <w:rsid w:val="00792064"/>
    <w:rsid w:val="007923BE"/>
    <w:rsid w:val="007923C3"/>
    <w:rsid w:val="00792639"/>
    <w:rsid w:val="00792B3E"/>
    <w:rsid w:val="00792B7C"/>
    <w:rsid w:val="00792C75"/>
    <w:rsid w:val="00793058"/>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158"/>
    <w:rsid w:val="007A7ACB"/>
    <w:rsid w:val="007A7D77"/>
    <w:rsid w:val="007A7F24"/>
    <w:rsid w:val="007B0104"/>
    <w:rsid w:val="007B0CAF"/>
    <w:rsid w:val="007B1026"/>
    <w:rsid w:val="007B1D67"/>
    <w:rsid w:val="007B1E88"/>
    <w:rsid w:val="007B2EEB"/>
    <w:rsid w:val="007B34A4"/>
    <w:rsid w:val="007B3803"/>
    <w:rsid w:val="007B3E89"/>
    <w:rsid w:val="007B4B86"/>
    <w:rsid w:val="007B4CE1"/>
    <w:rsid w:val="007B668A"/>
    <w:rsid w:val="007B692F"/>
    <w:rsid w:val="007B6B0F"/>
    <w:rsid w:val="007B74A3"/>
    <w:rsid w:val="007B75FE"/>
    <w:rsid w:val="007B7756"/>
    <w:rsid w:val="007C103D"/>
    <w:rsid w:val="007C1079"/>
    <w:rsid w:val="007C14EE"/>
    <w:rsid w:val="007C1537"/>
    <w:rsid w:val="007C1F9A"/>
    <w:rsid w:val="007C231D"/>
    <w:rsid w:val="007C2D23"/>
    <w:rsid w:val="007C2FEB"/>
    <w:rsid w:val="007C3433"/>
    <w:rsid w:val="007C3921"/>
    <w:rsid w:val="007C3E71"/>
    <w:rsid w:val="007C425A"/>
    <w:rsid w:val="007C438E"/>
    <w:rsid w:val="007C4AE5"/>
    <w:rsid w:val="007C53D3"/>
    <w:rsid w:val="007C5C32"/>
    <w:rsid w:val="007C5CF0"/>
    <w:rsid w:val="007C61DB"/>
    <w:rsid w:val="007C6201"/>
    <w:rsid w:val="007C691D"/>
    <w:rsid w:val="007C6D09"/>
    <w:rsid w:val="007C74B8"/>
    <w:rsid w:val="007C7C84"/>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7FB"/>
    <w:rsid w:val="007D782C"/>
    <w:rsid w:val="007D79DC"/>
    <w:rsid w:val="007E0159"/>
    <w:rsid w:val="007E0487"/>
    <w:rsid w:val="007E0648"/>
    <w:rsid w:val="007E0849"/>
    <w:rsid w:val="007E0C31"/>
    <w:rsid w:val="007E0DD3"/>
    <w:rsid w:val="007E1A97"/>
    <w:rsid w:val="007E21D2"/>
    <w:rsid w:val="007E28E0"/>
    <w:rsid w:val="007E28E3"/>
    <w:rsid w:val="007E29FA"/>
    <w:rsid w:val="007E31E3"/>
    <w:rsid w:val="007E32FF"/>
    <w:rsid w:val="007E34E3"/>
    <w:rsid w:val="007E3DB5"/>
    <w:rsid w:val="007E3ED4"/>
    <w:rsid w:val="007E463E"/>
    <w:rsid w:val="007E5298"/>
    <w:rsid w:val="007E5849"/>
    <w:rsid w:val="007E5932"/>
    <w:rsid w:val="007E5D47"/>
    <w:rsid w:val="007E5E89"/>
    <w:rsid w:val="007E5F5F"/>
    <w:rsid w:val="007E66C3"/>
    <w:rsid w:val="007E6912"/>
    <w:rsid w:val="007E6AEC"/>
    <w:rsid w:val="007E6E66"/>
    <w:rsid w:val="007E7153"/>
    <w:rsid w:val="007E7858"/>
    <w:rsid w:val="007E7E42"/>
    <w:rsid w:val="007E7E4D"/>
    <w:rsid w:val="007E7FA5"/>
    <w:rsid w:val="007F010F"/>
    <w:rsid w:val="007F011F"/>
    <w:rsid w:val="007F1254"/>
    <w:rsid w:val="007F1525"/>
    <w:rsid w:val="007F170E"/>
    <w:rsid w:val="007F1E2C"/>
    <w:rsid w:val="007F2CE5"/>
    <w:rsid w:val="007F2D82"/>
    <w:rsid w:val="007F3A0F"/>
    <w:rsid w:val="007F43AF"/>
    <w:rsid w:val="007F465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7033"/>
    <w:rsid w:val="00817678"/>
    <w:rsid w:val="00817DA0"/>
    <w:rsid w:val="008200CA"/>
    <w:rsid w:val="008215B4"/>
    <w:rsid w:val="008216E6"/>
    <w:rsid w:val="00821708"/>
    <w:rsid w:val="008220A4"/>
    <w:rsid w:val="00822CDE"/>
    <w:rsid w:val="00822D4F"/>
    <w:rsid w:val="00822EB2"/>
    <w:rsid w:val="008238C5"/>
    <w:rsid w:val="008238FE"/>
    <w:rsid w:val="0082499C"/>
    <w:rsid w:val="00824B6E"/>
    <w:rsid w:val="008258E0"/>
    <w:rsid w:val="008263F4"/>
    <w:rsid w:val="00826ED5"/>
    <w:rsid w:val="0082779C"/>
    <w:rsid w:val="00830103"/>
    <w:rsid w:val="008307E4"/>
    <w:rsid w:val="0083083F"/>
    <w:rsid w:val="00830BAE"/>
    <w:rsid w:val="00830FD0"/>
    <w:rsid w:val="00831007"/>
    <w:rsid w:val="0083105B"/>
    <w:rsid w:val="00831278"/>
    <w:rsid w:val="008314E4"/>
    <w:rsid w:val="008318E7"/>
    <w:rsid w:val="00831A1E"/>
    <w:rsid w:val="00831A43"/>
    <w:rsid w:val="00831E21"/>
    <w:rsid w:val="00832BDE"/>
    <w:rsid w:val="00832ED2"/>
    <w:rsid w:val="00833735"/>
    <w:rsid w:val="00833DC4"/>
    <w:rsid w:val="0083482A"/>
    <w:rsid w:val="00835352"/>
    <w:rsid w:val="00835C6A"/>
    <w:rsid w:val="00836140"/>
    <w:rsid w:val="00836B47"/>
    <w:rsid w:val="00837381"/>
    <w:rsid w:val="0083765C"/>
    <w:rsid w:val="00837B00"/>
    <w:rsid w:val="00837D26"/>
    <w:rsid w:val="008401D6"/>
    <w:rsid w:val="00840364"/>
    <w:rsid w:val="008407FC"/>
    <w:rsid w:val="00841084"/>
    <w:rsid w:val="00841292"/>
    <w:rsid w:val="00841331"/>
    <w:rsid w:val="0084197B"/>
    <w:rsid w:val="00841DEF"/>
    <w:rsid w:val="00841E99"/>
    <w:rsid w:val="0084253A"/>
    <w:rsid w:val="00842FE0"/>
    <w:rsid w:val="00843E56"/>
    <w:rsid w:val="008444F9"/>
    <w:rsid w:val="00844EA3"/>
    <w:rsid w:val="00844ED4"/>
    <w:rsid w:val="0084518E"/>
    <w:rsid w:val="00845780"/>
    <w:rsid w:val="00845ED2"/>
    <w:rsid w:val="00846175"/>
    <w:rsid w:val="008463D9"/>
    <w:rsid w:val="008463F6"/>
    <w:rsid w:val="00846FAC"/>
    <w:rsid w:val="0084720C"/>
    <w:rsid w:val="00847930"/>
    <w:rsid w:val="00847DEC"/>
    <w:rsid w:val="00850037"/>
    <w:rsid w:val="0085037A"/>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7B"/>
    <w:rsid w:val="00862B09"/>
    <w:rsid w:val="00862CC7"/>
    <w:rsid w:val="00863426"/>
    <w:rsid w:val="00864B8F"/>
    <w:rsid w:val="008654C4"/>
    <w:rsid w:val="0086590A"/>
    <w:rsid w:val="00865D22"/>
    <w:rsid w:val="008665E5"/>
    <w:rsid w:val="008666D1"/>
    <w:rsid w:val="00866C67"/>
    <w:rsid w:val="0086722A"/>
    <w:rsid w:val="00867478"/>
    <w:rsid w:val="008679CB"/>
    <w:rsid w:val="00867DF0"/>
    <w:rsid w:val="0087027C"/>
    <w:rsid w:val="00870691"/>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38"/>
    <w:rsid w:val="00880AC6"/>
    <w:rsid w:val="0088147A"/>
    <w:rsid w:val="0088160F"/>
    <w:rsid w:val="00881741"/>
    <w:rsid w:val="008817B1"/>
    <w:rsid w:val="00881C82"/>
    <w:rsid w:val="00881CD3"/>
    <w:rsid w:val="00881D43"/>
    <w:rsid w:val="008826EF"/>
    <w:rsid w:val="008827AD"/>
    <w:rsid w:val="00882882"/>
    <w:rsid w:val="008829FB"/>
    <w:rsid w:val="00883486"/>
    <w:rsid w:val="008838E2"/>
    <w:rsid w:val="00883CED"/>
    <w:rsid w:val="00884BEB"/>
    <w:rsid w:val="0088550C"/>
    <w:rsid w:val="00885D2B"/>
    <w:rsid w:val="00885E26"/>
    <w:rsid w:val="008863CE"/>
    <w:rsid w:val="008865C6"/>
    <w:rsid w:val="00886783"/>
    <w:rsid w:val="00886795"/>
    <w:rsid w:val="00886D21"/>
    <w:rsid w:val="0088734C"/>
    <w:rsid w:val="00887C45"/>
    <w:rsid w:val="00891539"/>
    <w:rsid w:val="00891B91"/>
    <w:rsid w:val="00891BB6"/>
    <w:rsid w:val="00891E9B"/>
    <w:rsid w:val="00892543"/>
    <w:rsid w:val="00892A58"/>
    <w:rsid w:val="00892CBB"/>
    <w:rsid w:val="008932D4"/>
    <w:rsid w:val="0089376D"/>
    <w:rsid w:val="00893D09"/>
    <w:rsid w:val="00893F33"/>
    <w:rsid w:val="00894851"/>
    <w:rsid w:val="00894877"/>
    <w:rsid w:val="00894906"/>
    <w:rsid w:val="00895049"/>
    <w:rsid w:val="0089580A"/>
    <w:rsid w:val="00895822"/>
    <w:rsid w:val="0089582D"/>
    <w:rsid w:val="008960B0"/>
    <w:rsid w:val="008961D9"/>
    <w:rsid w:val="00896A4B"/>
    <w:rsid w:val="00896A59"/>
    <w:rsid w:val="00896EFA"/>
    <w:rsid w:val="008970C1"/>
    <w:rsid w:val="008977C3"/>
    <w:rsid w:val="00897A28"/>
    <w:rsid w:val="00897C3C"/>
    <w:rsid w:val="00897D49"/>
    <w:rsid w:val="008A03E9"/>
    <w:rsid w:val="008A0D59"/>
    <w:rsid w:val="008A0F40"/>
    <w:rsid w:val="008A1A70"/>
    <w:rsid w:val="008A1E00"/>
    <w:rsid w:val="008A1FDB"/>
    <w:rsid w:val="008A201E"/>
    <w:rsid w:val="008A2041"/>
    <w:rsid w:val="008A2363"/>
    <w:rsid w:val="008A283A"/>
    <w:rsid w:val="008A28CA"/>
    <w:rsid w:val="008A2B9A"/>
    <w:rsid w:val="008A3196"/>
    <w:rsid w:val="008A3368"/>
    <w:rsid w:val="008A3B1E"/>
    <w:rsid w:val="008A3F9C"/>
    <w:rsid w:val="008A478E"/>
    <w:rsid w:val="008A47A3"/>
    <w:rsid w:val="008A4855"/>
    <w:rsid w:val="008A49AA"/>
    <w:rsid w:val="008A4BA8"/>
    <w:rsid w:val="008A4C54"/>
    <w:rsid w:val="008A51E9"/>
    <w:rsid w:val="008A5419"/>
    <w:rsid w:val="008A5E3E"/>
    <w:rsid w:val="008A6110"/>
    <w:rsid w:val="008A6233"/>
    <w:rsid w:val="008A6421"/>
    <w:rsid w:val="008A6776"/>
    <w:rsid w:val="008A6BD4"/>
    <w:rsid w:val="008A6BDC"/>
    <w:rsid w:val="008A6D0F"/>
    <w:rsid w:val="008A739E"/>
    <w:rsid w:val="008B0109"/>
    <w:rsid w:val="008B027A"/>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6315"/>
    <w:rsid w:val="008C7CC9"/>
    <w:rsid w:val="008D07EC"/>
    <w:rsid w:val="008D0AF2"/>
    <w:rsid w:val="008D0F24"/>
    <w:rsid w:val="008D1301"/>
    <w:rsid w:val="008D169B"/>
    <w:rsid w:val="008D201C"/>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DFE"/>
    <w:rsid w:val="008D7EBC"/>
    <w:rsid w:val="008E01E5"/>
    <w:rsid w:val="008E05B3"/>
    <w:rsid w:val="008E07B3"/>
    <w:rsid w:val="008E0B41"/>
    <w:rsid w:val="008E0D7B"/>
    <w:rsid w:val="008E1118"/>
    <w:rsid w:val="008E18F2"/>
    <w:rsid w:val="008E25EB"/>
    <w:rsid w:val="008E2662"/>
    <w:rsid w:val="008E2A5F"/>
    <w:rsid w:val="008E2E7C"/>
    <w:rsid w:val="008E3BCB"/>
    <w:rsid w:val="008E40CC"/>
    <w:rsid w:val="008E4B3E"/>
    <w:rsid w:val="008E53DF"/>
    <w:rsid w:val="008E5669"/>
    <w:rsid w:val="008E5A0F"/>
    <w:rsid w:val="008E5BC0"/>
    <w:rsid w:val="008E5D59"/>
    <w:rsid w:val="008E6512"/>
    <w:rsid w:val="008E6D6C"/>
    <w:rsid w:val="008E6EF3"/>
    <w:rsid w:val="008E7660"/>
    <w:rsid w:val="008E7968"/>
    <w:rsid w:val="008F00AF"/>
    <w:rsid w:val="008F03D4"/>
    <w:rsid w:val="008F0A5F"/>
    <w:rsid w:val="008F118B"/>
    <w:rsid w:val="008F21B4"/>
    <w:rsid w:val="008F2F6B"/>
    <w:rsid w:val="008F2F8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8AE"/>
    <w:rsid w:val="008F7A87"/>
    <w:rsid w:val="008F7CEA"/>
    <w:rsid w:val="008F7F50"/>
    <w:rsid w:val="00900846"/>
    <w:rsid w:val="009008D9"/>
    <w:rsid w:val="00900932"/>
    <w:rsid w:val="00900B95"/>
    <w:rsid w:val="00900EAA"/>
    <w:rsid w:val="00901439"/>
    <w:rsid w:val="0090182C"/>
    <w:rsid w:val="00901A00"/>
    <w:rsid w:val="00902094"/>
    <w:rsid w:val="0090277E"/>
    <w:rsid w:val="00902F3B"/>
    <w:rsid w:val="009033A2"/>
    <w:rsid w:val="00903626"/>
    <w:rsid w:val="00903BD5"/>
    <w:rsid w:val="00904FFC"/>
    <w:rsid w:val="009050EC"/>
    <w:rsid w:val="009051EF"/>
    <w:rsid w:val="00905731"/>
    <w:rsid w:val="0090576A"/>
    <w:rsid w:val="00905807"/>
    <w:rsid w:val="00905CFC"/>
    <w:rsid w:val="00906206"/>
    <w:rsid w:val="00906E43"/>
    <w:rsid w:val="0091014E"/>
    <w:rsid w:val="009112E8"/>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ED9"/>
    <w:rsid w:val="0091764F"/>
    <w:rsid w:val="009177C4"/>
    <w:rsid w:val="00920014"/>
    <w:rsid w:val="009206AC"/>
    <w:rsid w:val="009207B4"/>
    <w:rsid w:val="00920B9B"/>
    <w:rsid w:val="0092144F"/>
    <w:rsid w:val="00921941"/>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47B79"/>
    <w:rsid w:val="009501C1"/>
    <w:rsid w:val="00950ABD"/>
    <w:rsid w:val="00950D30"/>
    <w:rsid w:val="00951E66"/>
    <w:rsid w:val="0095234C"/>
    <w:rsid w:val="00953878"/>
    <w:rsid w:val="009539C1"/>
    <w:rsid w:val="00953A7B"/>
    <w:rsid w:val="0095486D"/>
    <w:rsid w:val="00954D7F"/>
    <w:rsid w:val="009551A0"/>
    <w:rsid w:val="00955BE3"/>
    <w:rsid w:val="00956143"/>
    <w:rsid w:val="00956465"/>
    <w:rsid w:val="00956922"/>
    <w:rsid w:val="00956ED3"/>
    <w:rsid w:val="009574AD"/>
    <w:rsid w:val="00960510"/>
    <w:rsid w:val="00960ADF"/>
    <w:rsid w:val="0096101D"/>
    <w:rsid w:val="009621D7"/>
    <w:rsid w:val="0096284C"/>
    <w:rsid w:val="00963662"/>
    <w:rsid w:val="00963A11"/>
    <w:rsid w:val="00963A4D"/>
    <w:rsid w:val="009644C6"/>
    <w:rsid w:val="00964502"/>
    <w:rsid w:val="00964629"/>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1C20"/>
    <w:rsid w:val="009722C2"/>
    <w:rsid w:val="00972381"/>
    <w:rsid w:val="0097347A"/>
    <w:rsid w:val="00973B9E"/>
    <w:rsid w:val="00973F19"/>
    <w:rsid w:val="00974092"/>
    <w:rsid w:val="00974CDE"/>
    <w:rsid w:val="00974E2C"/>
    <w:rsid w:val="009759B0"/>
    <w:rsid w:val="00975D89"/>
    <w:rsid w:val="00976005"/>
    <w:rsid w:val="00976A16"/>
    <w:rsid w:val="00977056"/>
    <w:rsid w:val="00977063"/>
    <w:rsid w:val="00977BAA"/>
    <w:rsid w:val="00977C87"/>
    <w:rsid w:val="00977F7F"/>
    <w:rsid w:val="00977FD7"/>
    <w:rsid w:val="0098030D"/>
    <w:rsid w:val="009816BB"/>
    <w:rsid w:val="009824C3"/>
    <w:rsid w:val="009831C4"/>
    <w:rsid w:val="0098370F"/>
    <w:rsid w:val="00983CB4"/>
    <w:rsid w:val="009845C3"/>
    <w:rsid w:val="009848B8"/>
    <w:rsid w:val="009848F6"/>
    <w:rsid w:val="00984BDD"/>
    <w:rsid w:val="00985427"/>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9C1"/>
    <w:rsid w:val="009A2BCA"/>
    <w:rsid w:val="009A30BB"/>
    <w:rsid w:val="009A33F9"/>
    <w:rsid w:val="009A3404"/>
    <w:rsid w:val="009A351F"/>
    <w:rsid w:val="009A4AAC"/>
    <w:rsid w:val="009A5201"/>
    <w:rsid w:val="009A5AC6"/>
    <w:rsid w:val="009A6060"/>
    <w:rsid w:val="009A60BB"/>
    <w:rsid w:val="009A6AB4"/>
    <w:rsid w:val="009A70B3"/>
    <w:rsid w:val="009A780E"/>
    <w:rsid w:val="009A781D"/>
    <w:rsid w:val="009A78F4"/>
    <w:rsid w:val="009B0437"/>
    <w:rsid w:val="009B064C"/>
    <w:rsid w:val="009B0807"/>
    <w:rsid w:val="009B097E"/>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5D0"/>
    <w:rsid w:val="009B68DF"/>
    <w:rsid w:val="009B6AAF"/>
    <w:rsid w:val="009B710A"/>
    <w:rsid w:val="009B75F0"/>
    <w:rsid w:val="009B7606"/>
    <w:rsid w:val="009B772B"/>
    <w:rsid w:val="009C0082"/>
    <w:rsid w:val="009C077D"/>
    <w:rsid w:val="009C0F3F"/>
    <w:rsid w:val="009C13D4"/>
    <w:rsid w:val="009C1503"/>
    <w:rsid w:val="009C23C5"/>
    <w:rsid w:val="009C2445"/>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A5C"/>
    <w:rsid w:val="009D2D57"/>
    <w:rsid w:val="009D2DAB"/>
    <w:rsid w:val="009D2F09"/>
    <w:rsid w:val="009D35BD"/>
    <w:rsid w:val="009D35EC"/>
    <w:rsid w:val="009D3A23"/>
    <w:rsid w:val="009D4B11"/>
    <w:rsid w:val="009D530B"/>
    <w:rsid w:val="009D5787"/>
    <w:rsid w:val="009D5855"/>
    <w:rsid w:val="009D58F3"/>
    <w:rsid w:val="009D5C51"/>
    <w:rsid w:val="009D5CF8"/>
    <w:rsid w:val="009D61BE"/>
    <w:rsid w:val="009D6EB2"/>
    <w:rsid w:val="009E07C4"/>
    <w:rsid w:val="009E0C6E"/>
    <w:rsid w:val="009E0EFD"/>
    <w:rsid w:val="009E123E"/>
    <w:rsid w:val="009E1400"/>
    <w:rsid w:val="009E23F4"/>
    <w:rsid w:val="009E256D"/>
    <w:rsid w:val="009E2707"/>
    <w:rsid w:val="009E2AF5"/>
    <w:rsid w:val="009E32C6"/>
    <w:rsid w:val="009E33F4"/>
    <w:rsid w:val="009E39C2"/>
    <w:rsid w:val="009E4618"/>
    <w:rsid w:val="009E4F63"/>
    <w:rsid w:val="009E6037"/>
    <w:rsid w:val="009E6373"/>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DA9"/>
    <w:rsid w:val="009F4691"/>
    <w:rsid w:val="009F4839"/>
    <w:rsid w:val="009F4B3A"/>
    <w:rsid w:val="009F5315"/>
    <w:rsid w:val="009F57A3"/>
    <w:rsid w:val="009F6789"/>
    <w:rsid w:val="009F6D75"/>
    <w:rsid w:val="009F71DE"/>
    <w:rsid w:val="009F753E"/>
    <w:rsid w:val="009F77F9"/>
    <w:rsid w:val="009F795D"/>
    <w:rsid w:val="009F7D42"/>
    <w:rsid w:val="009F7DD2"/>
    <w:rsid w:val="00A00133"/>
    <w:rsid w:val="00A0066E"/>
    <w:rsid w:val="00A006CD"/>
    <w:rsid w:val="00A01457"/>
    <w:rsid w:val="00A0163A"/>
    <w:rsid w:val="00A017F2"/>
    <w:rsid w:val="00A020B9"/>
    <w:rsid w:val="00A0215C"/>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76"/>
    <w:rsid w:val="00A06CFF"/>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2A97"/>
    <w:rsid w:val="00A22E03"/>
    <w:rsid w:val="00A235F9"/>
    <w:rsid w:val="00A23E18"/>
    <w:rsid w:val="00A23ECE"/>
    <w:rsid w:val="00A242B0"/>
    <w:rsid w:val="00A2482D"/>
    <w:rsid w:val="00A24B5E"/>
    <w:rsid w:val="00A24C79"/>
    <w:rsid w:val="00A24F4F"/>
    <w:rsid w:val="00A256F6"/>
    <w:rsid w:val="00A25824"/>
    <w:rsid w:val="00A2588A"/>
    <w:rsid w:val="00A26164"/>
    <w:rsid w:val="00A26228"/>
    <w:rsid w:val="00A2629A"/>
    <w:rsid w:val="00A2647A"/>
    <w:rsid w:val="00A27962"/>
    <w:rsid w:val="00A3138E"/>
    <w:rsid w:val="00A31666"/>
    <w:rsid w:val="00A31D94"/>
    <w:rsid w:val="00A3316F"/>
    <w:rsid w:val="00A3336A"/>
    <w:rsid w:val="00A333C2"/>
    <w:rsid w:val="00A33667"/>
    <w:rsid w:val="00A3369D"/>
    <w:rsid w:val="00A34233"/>
    <w:rsid w:val="00A34AE5"/>
    <w:rsid w:val="00A34BB4"/>
    <w:rsid w:val="00A34BE2"/>
    <w:rsid w:val="00A34DC3"/>
    <w:rsid w:val="00A35D50"/>
    <w:rsid w:val="00A408CD"/>
    <w:rsid w:val="00A41031"/>
    <w:rsid w:val="00A413CA"/>
    <w:rsid w:val="00A41695"/>
    <w:rsid w:val="00A42C7F"/>
    <w:rsid w:val="00A42C99"/>
    <w:rsid w:val="00A447FE"/>
    <w:rsid w:val="00A44E90"/>
    <w:rsid w:val="00A45262"/>
    <w:rsid w:val="00A4578D"/>
    <w:rsid w:val="00A46034"/>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267"/>
    <w:rsid w:val="00A53E2F"/>
    <w:rsid w:val="00A53FAE"/>
    <w:rsid w:val="00A54416"/>
    <w:rsid w:val="00A54851"/>
    <w:rsid w:val="00A56490"/>
    <w:rsid w:val="00A56CDF"/>
    <w:rsid w:val="00A603D6"/>
    <w:rsid w:val="00A62109"/>
    <w:rsid w:val="00A629BC"/>
    <w:rsid w:val="00A62A97"/>
    <w:rsid w:val="00A62CBF"/>
    <w:rsid w:val="00A62DA4"/>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69B"/>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EF"/>
    <w:rsid w:val="00A80CEE"/>
    <w:rsid w:val="00A81A25"/>
    <w:rsid w:val="00A81AAF"/>
    <w:rsid w:val="00A81D56"/>
    <w:rsid w:val="00A81E22"/>
    <w:rsid w:val="00A81F40"/>
    <w:rsid w:val="00A826CB"/>
    <w:rsid w:val="00A8280A"/>
    <w:rsid w:val="00A829FA"/>
    <w:rsid w:val="00A82F73"/>
    <w:rsid w:val="00A83588"/>
    <w:rsid w:val="00A83AC4"/>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DF6"/>
    <w:rsid w:val="00AA3E68"/>
    <w:rsid w:val="00AA4C28"/>
    <w:rsid w:val="00AA57E7"/>
    <w:rsid w:val="00AA5C4A"/>
    <w:rsid w:val="00AA5DC7"/>
    <w:rsid w:val="00AA6288"/>
    <w:rsid w:val="00AA62E6"/>
    <w:rsid w:val="00AA64E6"/>
    <w:rsid w:val="00AA674B"/>
    <w:rsid w:val="00AA6840"/>
    <w:rsid w:val="00AA75D5"/>
    <w:rsid w:val="00AA78D5"/>
    <w:rsid w:val="00AA7CE3"/>
    <w:rsid w:val="00AA7F08"/>
    <w:rsid w:val="00AB0051"/>
    <w:rsid w:val="00AB0900"/>
    <w:rsid w:val="00AB0912"/>
    <w:rsid w:val="00AB142D"/>
    <w:rsid w:val="00AB245E"/>
    <w:rsid w:val="00AB355A"/>
    <w:rsid w:val="00AB381A"/>
    <w:rsid w:val="00AB3F41"/>
    <w:rsid w:val="00AB3F86"/>
    <w:rsid w:val="00AB4242"/>
    <w:rsid w:val="00AB44C2"/>
    <w:rsid w:val="00AB452B"/>
    <w:rsid w:val="00AB4A2F"/>
    <w:rsid w:val="00AB4A9B"/>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FD5"/>
    <w:rsid w:val="00AC4048"/>
    <w:rsid w:val="00AC459A"/>
    <w:rsid w:val="00AC477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5183"/>
    <w:rsid w:val="00AD5633"/>
    <w:rsid w:val="00AD57DD"/>
    <w:rsid w:val="00AD6196"/>
    <w:rsid w:val="00AD6249"/>
    <w:rsid w:val="00AD6743"/>
    <w:rsid w:val="00AD7F8A"/>
    <w:rsid w:val="00AE0713"/>
    <w:rsid w:val="00AE075C"/>
    <w:rsid w:val="00AE0882"/>
    <w:rsid w:val="00AE0DD0"/>
    <w:rsid w:val="00AE0FC9"/>
    <w:rsid w:val="00AE102C"/>
    <w:rsid w:val="00AE17C7"/>
    <w:rsid w:val="00AE199C"/>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637"/>
    <w:rsid w:val="00AE7F34"/>
    <w:rsid w:val="00AE7FC6"/>
    <w:rsid w:val="00AF00D6"/>
    <w:rsid w:val="00AF0535"/>
    <w:rsid w:val="00AF0854"/>
    <w:rsid w:val="00AF08EB"/>
    <w:rsid w:val="00AF0927"/>
    <w:rsid w:val="00AF0A90"/>
    <w:rsid w:val="00AF0C82"/>
    <w:rsid w:val="00AF0F89"/>
    <w:rsid w:val="00AF10D9"/>
    <w:rsid w:val="00AF3579"/>
    <w:rsid w:val="00AF4255"/>
    <w:rsid w:val="00AF4FB6"/>
    <w:rsid w:val="00AF5730"/>
    <w:rsid w:val="00AF5B11"/>
    <w:rsid w:val="00AF5DAA"/>
    <w:rsid w:val="00AF5EB0"/>
    <w:rsid w:val="00AF6B1B"/>
    <w:rsid w:val="00AF6C00"/>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58C"/>
    <w:rsid w:val="00B06A24"/>
    <w:rsid w:val="00B06C77"/>
    <w:rsid w:val="00B0705E"/>
    <w:rsid w:val="00B07373"/>
    <w:rsid w:val="00B07493"/>
    <w:rsid w:val="00B07565"/>
    <w:rsid w:val="00B076B0"/>
    <w:rsid w:val="00B100C4"/>
    <w:rsid w:val="00B10A3C"/>
    <w:rsid w:val="00B10B65"/>
    <w:rsid w:val="00B117F0"/>
    <w:rsid w:val="00B1186A"/>
    <w:rsid w:val="00B124E0"/>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870"/>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4D8"/>
    <w:rsid w:val="00B26559"/>
    <w:rsid w:val="00B279BA"/>
    <w:rsid w:val="00B304F8"/>
    <w:rsid w:val="00B310D0"/>
    <w:rsid w:val="00B3168F"/>
    <w:rsid w:val="00B31897"/>
    <w:rsid w:val="00B3210A"/>
    <w:rsid w:val="00B3264E"/>
    <w:rsid w:val="00B3351A"/>
    <w:rsid w:val="00B33667"/>
    <w:rsid w:val="00B33BBB"/>
    <w:rsid w:val="00B33D04"/>
    <w:rsid w:val="00B33D7B"/>
    <w:rsid w:val="00B33DBE"/>
    <w:rsid w:val="00B3428B"/>
    <w:rsid w:val="00B34D68"/>
    <w:rsid w:val="00B351BF"/>
    <w:rsid w:val="00B36A0D"/>
    <w:rsid w:val="00B36ABA"/>
    <w:rsid w:val="00B37330"/>
    <w:rsid w:val="00B37649"/>
    <w:rsid w:val="00B37662"/>
    <w:rsid w:val="00B377DD"/>
    <w:rsid w:val="00B3783F"/>
    <w:rsid w:val="00B378E8"/>
    <w:rsid w:val="00B37F54"/>
    <w:rsid w:val="00B4042A"/>
    <w:rsid w:val="00B404F3"/>
    <w:rsid w:val="00B408F8"/>
    <w:rsid w:val="00B4094F"/>
    <w:rsid w:val="00B40A88"/>
    <w:rsid w:val="00B41824"/>
    <w:rsid w:val="00B41B72"/>
    <w:rsid w:val="00B421B5"/>
    <w:rsid w:val="00B4257B"/>
    <w:rsid w:val="00B42806"/>
    <w:rsid w:val="00B42913"/>
    <w:rsid w:val="00B42A5D"/>
    <w:rsid w:val="00B43516"/>
    <w:rsid w:val="00B43EC2"/>
    <w:rsid w:val="00B444DF"/>
    <w:rsid w:val="00B45243"/>
    <w:rsid w:val="00B4580D"/>
    <w:rsid w:val="00B458DE"/>
    <w:rsid w:val="00B466DE"/>
    <w:rsid w:val="00B46708"/>
    <w:rsid w:val="00B46D69"/>
    <w:rsid w:val="00B470EF"/>
    <w:rsid w:val="00B47380"/>
    <w:rsid w:val="00B47509"/>
    <w:rsid w:val="00B50FE9"/>
    <w:rsid w:val="00B512DB"/>
    <w:rsid w:val="00B51FC3"/>
    <w:rsid w:val="00B52DD7"/>
    <w:rsid w:val="00B52F1B"/>
    <w:rsid w:val="00B52FFE"/>
    <w:rsid w:val="00B5300A"/>
    <w:rsid w:val="00B5304C"/>
    <w:rsid w:val="00B55195"/>
    <w:rsid w:val="00B55383"/>
    <w:rsid w:val="00B553BD"/>
    <w:rsid w:val="00B5548F"/>
    <w:rsid w:val="00B567F2"/>
    <w:rsid w:val="00B56FED"/>
    <w:rsid w:val="00B5788D"/>
    <w:rsid w:val="00B60013"/>
    <w:rsid w:val="00B6005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22FB"/>
    <w:rsid w:val="00B72507"/>
    <w:rsid w:val="00B72EDE"/>
    <w:rsid w:val="00B73EEC"/>
    <w:rsid w:val="00B7448D"/>
    <w:rsid w:val="00B74E7B"/>
    <w:rsid w:val="00B7516D"/>
    <w:rsid w:val="00B7527A"/>
    <w:rsid w:val="00B75AE3"/>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56A4"/>
    <w:rsid w:val="00B85E80"/>
    <w:rsid w:val="00B86A7F"/>
    <w:rsid w:val="00B86FC3"/>
    <w:rsid w:val="00B90258"/>
    <w:rsid w:val="00B90D93"/>
    <w:rsid w:val="00B9129A"/>
    <w:rsid w:val="00B91DDC"/>
    <w:rsid w:val="00B9234B"/>
    <w:rsid w:val="00B925D4"/>
    <w:rsid w:val="00B92738"/>
    <w:rsid w:val="00B928E2"/>
    <w:rsid w:val="00B931F3"/>
    <w:rsid w:val="00B93D50"/>
    <w:rsid w:val="00B94204"/>
    <w:rsid w:val="00B9429D"/>
    <w:rsid w:val="00B94B7B"/>
    <w:rsid w:val="00B94FF6"/>
    <w:rsid w:val="00B9553C"/>
    <w:rsid w:val="00B95675"/>
    <w:rsid w:val="00B958D8"/>
    <w:rsid w:val="00B95D32"/>
    <w:rsid w:val="00B95E0B"/>
    <w:rsid w:val="00B95F64"/>
    <w:rsid w:val="00B96099"/>
    <w:rsid w:val="00B972C3"/>
    <w:rsid w:val="00B973B5"/>
    <w:rsid w:val="00B97422"/>
    <w:rsid w:val="00BA105E"/>
    <w:rsid w:val="00BA1CE4"/>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0EC"/>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C1F"/>
    <w:rsid w:val="00BC55CA"/>
    <w:rsid w:val="00BC5781"/>
    <w:rsid w:val="00BC5E4F"/>
    <w:rsid w:val="00BC626B"/>
    <w:rsid w:val="00BC65B1"/>
    <w:rsid w:val="00BC65F1"/>
    <w:rsid w:val="00BC6942"/>
    <w:rsid w:val="00BC75D7"/>
    <w:rsid w:val="00BC763C"/>
    <w:rsid w:val="00BC7B0E"/>
    <w:rsid w:val="00BC7EF4"/>
    <w:rsid w:val="00BD0832"/>
    <w:rsid w:val="00BD0DD5"/>
    <w:rsid w:val="00BD1034"/>
    <w:rsid w:val="00BD10F6"/>
    <w:rsid w:val="00BD150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1E4C"/>
    <w:rsid w:val="00BE277C"/>
    <w:rsid w:val="00BE38A8"/>
    <w:rsid w:val="00BE38EA"/>
    <w:rsid w:val="00BE3A89"/>
    <w:rsid w:val="00BE56DC"/>
    <w:rsid w:val="00BE5933"/>
    <w:rsid w:val="00BE5A4E"/>
    <w:rsid w:val="00BE6A52"/>
    <w:rsid w:val="00BE6F51"/>
    <w:rsid w:val="00BE70CC"/>
    <w:rsid w:val="00BE73AA"/>
    <w:rsid w:val="00BE74F9"/>
    <w:rsid w:val="00BE7C1D"/>
    <w:rsid w:val="00BE7C84"/>
    <w:rsid w:val="00BE7F5C"/>
    <w:rsid w:val="00BF18C7"/>
    <w:rsid w:val="00BF1A3E"/>
    <w:rsid w:val="00BF21EA"/>
    <w:rsid w:val="00BF2506"/>
    <w:rsid w:val="00BF2B69"/>
    <w:rsid w:val="00BF3052"/>
    <w:rsid w:val="00BF3CEF"/>
    <w:rsid w:val="00BF3DD1"/>
    <w:rsid w:val="00BF478D"/>
    <w:rsid w:val="00BF4A2C"/>
    <w:rsid w:val="00BF681C"/>
    <w:rsid w:val="00BF6958"/>
    <w:rsid w:val="00BF6B8A"/>
    <w:rsid w:val="00BF71B6"/>
    <w:rsid w:val="00BF7FE9"/>
    <w:rsid w:val="00C0008A"/>
    <w:rsid w:val="00C00A94"/>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74A"/>
    <w:rsid w:val="00C10BB2"/>
    <w:rsid w:val="00C11006"/>
    <w:rsid w:val="00C1179C"/>
    <w:rsid w:val="00C119CA"/>
    <w:rsid w:val="00C11DEB"/>
    <w:rsid w:val="00C12498"/>
    <w:rsid w:val="00C12768"/>
    <w:rsid w:val="00C127B9"/>
    <w:rsid w:val="00C127DA"/>
    <w:rsid w:val="00C12ED3"/>
    <w:rsid w:val="00C137A0"/>
    <w:rsid w:val="00C13B9C"/>
    <w:rsid w:val="00C13EA5"/>
    <w:rsid w:val="00C15E92"/>
    <w:rsid w:val="00C16689"/>
    <w:rsid w:val="00C17516"/>
    <w:rsid w:val="00C17643"/>
    <w:rsid w:val="00C17EF0"/>
    <w:rsid w:val="00C17F44"/>
    <w:rsid w:val="00C201AD"/>
    <w:rsid w:val="00C204A9"/>
    <w:rsid w:val="00C2080B"/>
    <w:rsid w:val="00C20901"/>
    <w:rsid w:val="00C20E48"/>
    <w:rsid w:val="00C2151F"/>
    <w:rsid w:val="00C21860"/>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E0"/>
    <w:rsid w:val="00C330FB"/>
    <w:rsid w:val="00C3318C"/>
    <w:rsid w:val="00C332CF"/>
    <w:rsid w:val="00C33EA2"/>
    <w:rsid w:val="00C33FED"/>
    <w:rsid w:val="00C3471C"/>
    <w:rsid w:val="00C34C17"/>
    <w:rsid w:val="00C35112"/>
    <w:rsid w:val="00C355E3"/>
    <w:rsid w:val="00C358D9"/>
    <w:rsid w:val="00C35942"/>
    <w:rsid w:val="00C35AC5"/>
    <w:rsid w:val="00C36E28"/>
    <w:rsid w:val="00C379A7"/>
    <w:rsid w:val="00C40262"/>
    <w:rsid w:val="00C416A5"/>
    <w:rsid w:val="00C418EF"/>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5050E"/>
    <w:rsid w:val="00C505BF"/>
    <w:rsid w:val="00C50CC7"/>
    <w:rsid w:val="00C50EB1"/>
    <w:rsid w:val="00C51773"/>
    <w:rsid w:val="00C5184D"/>
    <w:rsid w:val="00C51934"/>
    <w:rsid w:val="00C520C5"/>
    <w:rsid w:val="00C523E3"/>
    <w:rsid w:val="00C525C7"/>
    <w:rsid w:val="00C52639"/>
    <w:rsid w:val="00C52690"/>
    <w:rsid w:val="00C529A8"/>
    <w:rsid w:val="00C52E23"/>
    <w:rsid w:val="00C5366C"/>
    <w:rsid w:val="00C545D2"/>
    <w:rsid w:val="00C54B26"/>
    <w:rsid w:val="00C54BEC"/>
    <w:rsid w:val="00C55191"/>
    <w:rsid w:val="00C5555E"/>
    <w:rsid w:val="00C55CAF"/>
    <w:rsid w:val="00C56455"/>
    <w:rsid w:val="00C568D1"/>
    <w:rsid w:val="00C56B47"/>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4BC4"/>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5874"/>
    <w:rsid w:val="00C76437"/>
    <w:rsid w:val="00C76724"/>
    <w:rsid w:val="00C767B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8B4"/>
    <w:rsid w:val="00C86DC2"/>
    <w:rsid w:val="00C870AE"/>
    <w:rsid w:val="00C87160"/>
    <w:rsid w:val="00C8740E"/>
    <w:rsid w:val="00C874DF"/>
    <w:rsid w:val="00C877A0"/>
    <w:rsid w:val="00C918DD"/>
    <w:rsid w:val="00C91AEF"/>
    <w:rsid w:val="00C91DB5"/>
    <w:rsid w:val="00C931B5"/>
    <w:rsid w:val="00C933DC"/>
    <w:rsid w:val="00C9345F"/>
    <w:rsid w:val="00C936F9"/>
    <w:rsid w:val="00C94BF2"/>
    <w:rsid w:val="00C950EA"/>
    <w:rsid w:val="00C9533C"/>
    <w:rsid w:val="00C95AB0"/>
    <w:rsid w:val="00C95C24"/>
    <w:rsid w:val="00C96005"/>
    <w:rsid w:val="00C9678B"/>
    <w:rsid w:val="00C96EC1"/>
    <w:rsid w:val="00C9779D"/>
    <w:rsid w:val="00C978AB"/>
    <w:rsid w:val="00C97B36"/>
    <w:rsid w:val="00C97C37"/>
    <w:rsid w:val="00CA07A8"/>
    <w:rsid w:val="00CA1A4B"/>
    <w:rsid w:val="00CA2BD8"/>
    <w:rsid w:val="00CA2C40"/>
    <w:rsid w:val="00CA2C91"/>
    <w:rsid w:val="00CA2CDD"/>
    <w:rsid w:val="00CA2EC3"/>
    <w:rsid w:val="00CA39C1"/>
    <w:rsid w:val="00CA3CF7"/>
    <w:rsid w:val="00CA4417"/>
    <w:rsid w:val="00CA4ECB"/>
    <w:rsid w:val="00CA566C"/>
    <w:rsid w:val="00CA599D"/>
    <w:rsid w:val="00CA5F1E"/>
    <w:rsid w:val="00CA60BE"/>
    <w:rsid w:val="00CA62B0"/>
    <w:rsid w:val="00CA641D"/>
    <w:rsid w:val="00CA73EE"/>
    <w:rsid w:val="00CA7927"/>
    <w:rsid w:val="00CA7A66"/>
    <w:rsid w:val="00CA7AD0"/>
    <w:rsid w:val="00CA7B95"/>
    <w:rsid w:val="00CB02E3"/>
    <w:rsid w:val="00CB0608"/>
    <w:rsid w:val="00CB06C8"/>
    <w:rsid w:val="00CB084D"/>
    <w:rsid w:val="00CB0E08"/>
    <w:rsid w:val="00CB0EC8"/>
    <w:rsid w:val="00CB1080"/>
    <w:rsid w:val="00CB22D3"/>
    <w:rsid w:val="00CB2685"/>
    <w:rsid w:val="00CB395D"/>
    <w:rsid w:val="00CB3C15"/>
    <w:rsid w:val="00CB3F4A"/>
    <w:rsid w:val="00CB5115"/>
    <w:rsid w:val="00CB5137"/>
    <w:rsid w:val="00CB5B2A"/>
    <w:rsid w:val="00CB5D87"/>
    <w:rsid w:val="00CB5E01"/>
    <w:rsid w:val="00CB61B5"/>
    <w:rsid w:val="00CB6449"/>
    <w:rsid w:val="00CB702A"/>
    <w:rsid w:val="00CB70ED"/>
    <w:rsid w:val="00CB786C"/>
    <w:rsid w:val="00CB7907"/>
    <w:rsid w:val="00CB7D59"/>
    <w:rsid w:val="00CC076D"/>
    <w:rsid w:val="00CC0AC6"/>
    <w:rsid w:val="00CC0DE9"/>
    <w:rsid w:val="00CC1AA6"/>
    <w:rsid w:val="00CC1B2D"/>
    <w:rsid w:val="00CC1F35"/>
    <w:rsid w:val="00CC249A"/>
    <w:rsid w:val="00CC268C"/>
    <w:rsid w:val="00CC3588"/>
    <w:rsid w:val="00CC3589"/>
    <w:rsid w:val="00CC4182"/>
    <w:rsid w:val="00CC435E"/>
    <w:rsid w:val="00CC44FB"/>
    <w:rsid w:val="00CC4EBE"/>
    <w:rsid w:val="00CC5261"/>
    <w:rsid w:val="00CC646C"/>
    <w:rsid w:val="00CC64BF"/>
    <w:rsid w:val="00CC6865"/>
    <w:rsid w:val="00CC693F"/>
    <w:rsid w:val="00CC6E0B"/>
    <w:rsid w:val="00CC6EF5"/>
    <w:rsid w:val="00CC71EC"/>
    <w:rsid w:val="00CC7654"/>
    <w:rsid w:val="00CC7AEE"/>
    <w:rsid w:val="00CC7C4D"/>
    <w:rsid w:val="00CD0361"/>
    <w:rsid w:val="00CD036C"/>
    <w:rsid w:val="00CD03E4"/>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5F3A"/>
    <w:rsid w:val="00CE6996"/>
    <w:rsid w:val="00CE6D23"/>
    <w:rsid w:val="00CE72B9"/>
    <w:rsid w:val="00CE73E0"/>
    <w:rsid w:val="00CE752E"/>
    <w:rsid w:val="00CE783C"/>
    <w:rsid w:val="00CF0CC0"/>
    <w:rsid w:val="00CF1334"/>
    <w:rsid w:val="00CF1715"/>
    <w:rsid w:val="00CF18E6"/>
    <w:rsid w:val="00CF1FD9"/>
    <w:rsid w:val="00CF2222"/>
    <w:rsid w:val="00CF2558"/>
    <w:rsid w:val="00CF28A3"/>
    <w:rsid w:val="00CF3324"/>
    <w:rsid w:val="00CF387C"/>
    <w:rsid w:val="00CF3AAF"/>
    <w:rsid w:val="00CF3DD8"/>
    <w:rsid w:val="00CF4EE4"/>
    <w:rsid w:val="00CF587C"/>
    <w:rsid w:val="00CF5A19"/>
    <w:rsid w:val="00CF5AA0"/>
    <w:rsid w:val="00CF5D2A"/>
    <w:rsid w:val="00CF621D"/>
    <w:rsid w:val="00CF681C"/>
    <w:rsid w:val="00CF692C"/>
    <w:rsid w:val="00CF740D"/>
    <w:rsid w:val="00CF7DD7"/>
    <w:rsid w:val="00D00630"/>
    <w:rsid w:val="00D00D75"/>
    <w:rsid w:val="00D01453"/>
    <w:rsid w:val="00D017E5"/>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6EA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C52"/>
    <w:rsid w:val="00D24D0E"/>
    <w:rsid w:val="00D24D2E"/>
    <w:rsid w:val="00D255E0"/>
    <w:rsid w:val="00D256DA"/>
    <w:rsid w:val="00D269D7"/>
    <w:rsid w:val="00D26A8F"/>
    <w:rsid w:val="00D26E94"/>
    <w:rsid w:val="00D27340"/>
    <w:rsid w:val="00D27704"/>
    <w:rsid w:val="00D302B5"/>
    <w:rsid w:val="00D30308"/>
    <w:rsid w:val="00D3085D"/>
    <w:rsid w:val="00D30A1E"/>
    <w:rsid w:val="00D31AEA"/>
    <w:rsid w:val="00D32147"/>
    <w:rsid w:val="00D328AB"/>
    <w:rsid w:val="00D32CE5"/>
    <w:rsid w:val="00D33347"/>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FE7"/>
    <w:rsid w:val="00D43039"/>
    <w:rsid w:val="00D4328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21DE"/>
    <w:rsid w:val="00D628A0"/>
    <w:rsid w:val="00D62D9B"/>
    <w:rsid w:val="00D63556"/>
    <w:rsid w:val="00D63FD8"/>
    <w:rsid w:val="00D6487E"/>
    <w:rsid w:val="00D65443"/>
    <w:rsid w:val="00D665E5"/>
    <w:rsid w:val="00D666A6"/>
    <w:rsid w:val="00D67523"/>
    <w:rsid w:val="00D677A6"/>
    <w:rsid w:val="00D677FE"/>
    <w:rsid w:val="00D6782A"/>
    <w:rsid w:val="00D701A1"/>
    <w:rsid w:val="00D70917"/>
    <w:rsid w:val="00D70DA8"/>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E70"/>
    <w:rsid w:val="00D83D14"/>
    <w:rsid w:val="00D841AD"/>
    <w:rsid w:val="00D84F5D"/>
    <w:rsid w:val="00D85402"/>
    <w:rsid w:val="00D866D2"/>
    <w:rsid w:val="00D8701C"/>
    <w:rsid w:val="00D879BD"/>
    <w:rsid w:val="00D91A1D"/>
    <w:rsid w:val="00D91B23"/>
    <w:rsid w:val="00D91F03"/>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A04E3"/>
    <w:rsid w:val="00DA05CF"/>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CB5"/>
    <w:rsid w:val="00DA4F26"/>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532"/>
    <w:rsid w:val="00DC2120"/>
    <w:rsid w:val="00DC2151"/>
    <w:rsid w:val="00DC22AC"/>
    <w:rsid w:val="00DC24D9"/>
    <w:rsid w:val="00DC2762"/>
    <w:rsid w:val="00DC393B"/>
    <w:rsid w:val="00DC3A03"/>
    <w:rsid w:val="00DC3AEC"/>
    <w:rsid w:val="00DC3B67"/>
    <w:rsid w:val="00DC3E10"/>
    <w:rsid w:val="00DC4256"/>
    <w:rsid w:val="00DC48BE"/>
    <w:rsid w:val="00DC5329"/>
    <w:rsid w:val="00DC714E"/>
    <w:rsid w:val="00DC77D8"/>
    <w:rsid w:val="00DD0CE1"/>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248"/>
    <w:rsid w:val="00DE077B"/>
    <w:rsid w:val="00DE0CE6"/>
    <w:rsid w:val="00DE1E86"/>
    <w:rsid w:val="00DE20AA"/>
    <w:rsid w:val="00DE221F"/>
    <w:rsid w:val="00DE22A7"/>
    <w:rsid w:val="00DE2DD3"/>
    <w:rsid w:val="00DE2EC8"/>
    <w:rsid w:val="00DE2F8F"/>
    <w:rsid w:val="00DE31E7"/>
    <w:rsid w:val="00DE32D6"/>
    <w:rsid w:val="00DE3549"/>
    <w:rsid w:val="00DE39B6"/>
    <w:rsid w:val="00DE3F1E"/>
    <w:rsid w:val="00DE442C"/>
    <w:rsid w:val="00DE453A"/>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E58"/>
    <w:rsid w:val="00DF3341"/>
    <w:rsid w:val="00DF37BA"/>
    <w:rsid w:val="00DF38FA"/>
    <w:rsid w:val="00DF3E1F"/>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326"/>
    <w:rsid w:val="00E00C8C"/>
    <w:rsid w:val="00E0121C"/>
    <w:rsid w:val="00E01333"/>
    <w:rsid w:val="00E0195D"/>
    <w:rsid w:val="00E0195E"/>
    <w:rsid w:val="00E023ED"/>
    <w:rsid w:val="00E0254D"/>
    <w:rsid w:val="00E02747"/>
    <w:rsid w:val="00E02B3D"/>
    <w:rsid w:val="00E02C24"/>
    <w:rsid w:val="00E02CFE"/>
    <w:rsid w:val="00E02DCB"/>
    <w:rsid w:val="00E0364D"/>
    <w:rsid w:val="00E0383D"/>
    <w:rsid w:val="00E03CE9"/>
    <w:rsid w:val="00E04058"/>
    <w:rsid w:val="00E050B5"/>
    <w:rsid w:val="00E068B8"/>
    <w:rsid w:val="00E07133"/>
    <w:rsid w:val="00E07C0A"/>
    <w:rsid w:val="00E10803"/>
    <w:rsid w:val="00E11245"/>
    <w:rsid w:val="00E1127E"/>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26B"/>
    <w:rsid w:val="00E172E8"/>
    <w:rsid w:val="00E17333"/>
    <w:rsid w:val="00E176A4"/>
    <w:rsid w:val="00E17A5D"/>
    <w:rsid w:val="00E17C30"/>
    <w:rsid w:val="00E17D32"/>
    <w:rsid w:val="00E17EAD"/>
    <w:rsid w:val="00E17FFD"/>
    <w:rsid w:val="00E22013"/>
    <w:rsid w:val="00E2213D"/>
    <w:rsid w:val="00E2263E"/>
    <w:rsid w:val="00E22AC6"/>
    <w:rsid w:val="00E23428"/>
    <w:rsid w:val="00E23464"/>
    <w:rsid w:val="00E23C3E"/>
    <w:rsid w:val="00E24916"/>
    <w:rsid w:val="00E2502E"/>
    <w:rsid w:val="00E25847"/>
    <w:rsid w:val="00E25A5D"/>
    <w:rsid w:val="00E25FD8"/>
    <w:rsid w:val="00E266E9"/>
    <w:rsid w:val="00E26960"/>
    <w:rsid w:val="00E26B3B"/>
    <w:rsid w:val="00E26D5A"/>
    <w:rsid w:val="00E27201"/>
    <w:rsid w:val="00E2720B"/>
    <w:rsid w:val="00E274A6"/>
    <w:rsid w:val="00E27774"/>
    <w:rsid w:val="00E2780F"/>
    <w:rsid w:val="00E27C58"/>
    <w:rsid w:val="00E27C76"/>
    <w:rsid w:val="00E27F9B"/>
    <w:rsid w:val="00E31767"/>
    <w:rsid w:val="00E3179F"/>
    <w:rsid w:val="00E318A3"/>
    <w:rsid w:val="00E31A0A"/>
    <w:rsid w:val="00E31F0C"/>
    <w:rsid w:val="00E31F45"/>
    <w:rsid w:val="00E3201A"/>
    <w:rsid w:val="00E32534"/>
    <w:rsid w:val="00E32A4A"/>
    <w:rsid w:val="00E32B29"/>
    <w:rsid w:val="00E33ABD"/>
    <w:rsid w:val="00E3482C"/>
    <w:rsid w:val="00E34A05"/>
    <w:rsid w:val="00E34BA2"/>
    <w:rsid w:val="00E34EDA"/>
    <w:rsid w:val="00E35055"/>
    <w:rsid w:val="00E353D1"/>
    <w:rsid w:val="00E35F96"/>
    <w:rsid w:val="00E36478"/>
    <w:rsid w:val="00E3660B"/>
    <w:rsid w:val="00E3709C"/>
    <w:rsid w:val="00E402A1"/>
    <w:rsid w:val="00E407D2"/>
    <w:rsid w:val="00E40843"/>
    <w:rsid w:val="00E409A0"/>
    <w:rsid w:val="00E40AA3"/>
    <w:rsid w:val="00E40F03"/>
    <w:rsid w:val="00E41349"/>
    <w:rsid w:val="00E41973"/>
    <w:rsid w:val="00E419F4"/>
    <w:rsid w:val="00E4202F"/>
    <w:rsid w:val="00E42930"/>
    <w:rsid w:val="00E4298D"/>
    <w:rsid w:val="00E42C21"/>
    <w:rsid w:val="00E430DE"/>
    <w:rsid w:val="00E431B1"/>
    <w:rsid w:val="00E437D2"/>
    <w:rsid w:val="00E43CCD"/>
    <w:rsid w:val="00E44258"/>
    <w:rsid w:val="00E443A8"/>
    <w:rsid w:val="00E44587"/>
    <w:rsid w:val="00E44632"/>
    <w:rsid w:val="00E44BCB"/>
    <w:rsid w:val="00E45A7B"/>
    <w:rsid w:val="00E46906"/>
    <w:rsid w:val="00E46BB1"/>
    <w:rsid w:val="00E46D16"/>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75F3"/>
    <w:rsid w:val="00E57BC5"/>
    <w:rsid w:val="00E6057B"/>
    <w:rsid w:val="00E6087B"/>
    <w:rsid w:val="00E60A28"/>
    <w:rsid w:val="00E60B24"/>
    <w:rsid w:val="00E60E71"/>
    <w:rsid w:val="00E61205"/>
    <w:rsid w:val="00E61596"/>
    <w:rsid w:val="00E61678"/>
    <w:rsid w:val="00E61B9A"/>
    <w:rsid w:val="00E61F7D"/>
    <w:rsid w:val="00E62DA6"/>
    <w:rsid w:val="00E63065"/>
    <w:rsid w:val="00E63931"/>
    <w:rsid w:val="00E63B3F"/>
    <w:rsid w:val="00E63C25"/>
    <w:rsid w:val="00E63F75"/>
    <w:rsid w:val="00E64F5A"/>
    <w:rsid w:val="00E653E6"/>
    <w:rsid w:val="00E66DA8"/>
    <w:rsid w:val="00E66DB7"/>
    <w:rsid w:val="00E66F50"/>
    <w:rsid w:val="00E671BB"/>
    <w:rsid w:val="00E674B6"/>
    <w:rsid w:val="00E6798B"/>
    <w:rsid w:val="00E67AAF"/>
    <w:rsid w:val="00E67C87"/>
    <w:rsid w:val="00E7029D"/>
    <w:rsid w:val="00E7135A"/>
    <w:rsid w:val="00E72157"/>
    <w:rsid w:val="00E7257C"/>
    <w:rsid w:val="00E73464"/>
    <w:rsid w:val="00E74147"/>
    <w:rsid w:val="00E74DAD"/>
    <w:rsid w:val="00E75179"/>
    <w:rsid w:val="00E75441"/>
    <w:rsid w:val="00E75784"/>
    <w:rsid w:val="00E75788"/>
    <w:rsid w:val="00E75931"/>
    <w:rsid w:val="00E7784A"/>
    <w:rsid w:val="00E779D7"/>
    <w:rsid w:val="00E80192"/>
    <w:rsid w:val="00E8047E"/>
    <w:rsid w:val="00E80669"/>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639A"/>
    <w:rsid w:val="00E86FD3"/>
    <w:rsid w:val="00E875CE"/>
    <w:rsid w:val="00E876F8"/>
    <w:rsid w:val="00E87B44"/>
    <w:rsid w:val="00E87D7D"/>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8AA"/>
    <w:rsid w:val="00E96074"/>
    <w:rsid w:val="00E969EC"/>
    <w:rsid w:val="00E96ED7"/>
    <w:rsid w:val="00E97099"/>
    <w:rsid w:val="00E971C8"/>
    <w:rsid w:val="00E9744E"/>
    <w:rsid w:val="00EA0A48"/>
    <w:rsid w:val="00EA0DE7"/>
    <w:rsid w:val="00EA10FB"/>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49FB"/>
    <w:rsid w:val="00EA5CF6"/>
    <w:rsid w:val="00EA5D95"/>
    <w:rsid w:val="00EA6163"/>
    <w:rsid w:val="00EA74B1"/>
    <w:rsid w:val="00EA752F"/>
    <w:rsid w:val="00EA7CCB"/>
    <w:rsid w:val="00EB0034"/>
    <w:rsid w:val="00EB074F"/>
    <w:rsid w:val="00EB0F30"/>
    <w:rsid w:val="00EB1BDB"/>
    <w:rsid w:val="00EB2086"/>
    <w:rsid w:val="00EB2706"/>
    <w:rsid w:val="00EB2992"/>
    <w:rsid w:val="00EB31F6"/>
    <w:rsid w:val="00EB3344"/>
    <w:rsid w:val="00EB3663"/>
    <w:rsid w:val="00EB38C6"/>
    <w:rsid w:val="00EB38D3"/>
    <w:rsid w:val="00EB53B6"/>
    <w:rsid w:val="00EB549C"/>
    <w:rsid w:val="00EB57F8"/>
    <w:rsid w:val="00EB58C7"/>
    <w:rsid w:val="00EB621B"/>
    <w:rsid w:val="00EB643B"/>
    <w:rsid w:val="00EB669D"/>
    <w:rsid w:val="00EB6B19"/>
    <w:rsid w:val="00EB728F"/>
    <w:rsid w:val="00EB73DA"/>
    <w:rsid w:val="00EB78E8"/>
    <w:rsid w:val="00EC068E"/>
    <w:rsid w:val="00EC07E1"/>
    <w:rsid w:val="00EC09F8"/>
    <w:rsid w:val="00EC1A2D"/>
    <w:rsid w:val="00EC21BB"/>
    <w:rsid w:val="00EC237C"/>
    <w:rsid w:val="00EC28D1"/>
    <w:rsid w:val="00EC29CC"/>
    <w:rsid w:val="00EC2FF8"/>
    <w:rsid w:val="00EC363B"/>
    <w:rsid w:val="00EC3F40"/>
    <w:rsid w:val="00EC3FEB"/>
    <w:rsid w:val="00EC444E"/>
    <w:rsid w:val="00EC4766"/>
    <w:rsid w:val="00EC4A41"/>
    <w:rsid w:val="00EC4FFA"/>
    <w:rsid w:val="00EC56EB"/>
    <w:rsid w:val="00EC74A8"/>
    <w:rsid w:val="00EC7539"/>
    <w:rsid w:val="00EC7862"/>
    <w:rsid w:val="00EC78CD"/>
    <w:rsid w:val="00ED0534"/>
    <w:rsid w:val="00ED13C4"/>
    <w:rsid w:val="00ED1544"/>
    <w:rsid w:val="00ED16DB"/>
    <w:rsid w:val="00ED1AC8"/>
    <w:rsid w:val="00ED1CFE"/>
    <w:rsid w:val="00ED1F4A"/>
    <w:rsid w:val="00ED26B8"/>
    <w:rsid w:val="00ED2862"/>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00"/>
    <w:rsid w:val="00ED5B16"/>
    <w:rsid w:val="00ED5CC0"/>
    <w:rsid w:val="00ED6411"/>
    <w:rsid w:val="00ED7199"/>
    <w:rsid w:val="00ED72A3"/>
    <w:rsid w:val="00ED72E1"/>
    <w:rsid w:val="00ED7AC1"/>
    <w:rsid w:val="00ED7B81"/>
    <w:rsid w:val="00EE0260"/>
    <w:rsid w:val="00EE08C0"/>
    <w:rsid w:val="00EE0B7D"/>
    <w:rsid w:val="00EE240D"/>
    <w:rsid w:val="00EE29C2"/>
    <w:rsid w:val="00EE3A90"/>
    <w:rsid w:val="00EE3E12"/>
    <w:rsid w:val="00EE3FD8"/>
    <w:rsid w:val="00EE40D3"/>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27B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A64"/>
    <w:rsid w:val="00EF7EC2"/>
    <w:rsid w:val="00F00591"/>
    <w:rsid w:val="00F00977"/>
    <w:rsid w:val="00F0143D"/>
    <w:rsid w:val="00F027FD"/>
    <w:rsid w:val="00F03238"/>
    <w:rsid w:val="00F03B76"/>
    <w:rsid w:val="00F03CAF"/>
    <w:rsid w:val="00F03D26"/>
    <w:rsid w:val="00F040E7"/>
    <w:rsid w:val="00F048B7"/>
    <w:rsid w:val="00F04BD1"/>
    <w:rsid w:val="00F05069"/>
    <w:rsid w:val="00F05F67"/>
    <w:rsid w:val="00F060DB"/>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C62"/>
    <w:rsid w:val="00F14203"/>
    <w:rsid w:val="00F1429F"/>
    <w:rsid w:val="00F1464F"/>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30582"/>
    <w:rsid w:val="00F30968"/>
    <w:rsid w:val="00F311D3"/>
    <w:rsid w:val="00F3142C"/>
    <w:rsid w:val="00F318AE"/>
    <w:rsid w:val="00F32852"/>
    <w:rsid w:val="00F32D9E"/>
    <w:rsid w:val="00F33320"/>
    <w:rsid w:val="00F34156"/>
    <w:rsid w:val="00F3434A"/>
    <w:rsid w:val="00F3435E"/>
    <w:rsid w:val="00F34744"/>
    <w:rsid w:val="00F34911"/>
    <w:rsid w:val="00F34A99"/>
    <w:rsid w:val="00F34B44"/>
    <w:rsid w:val="00F35BF8"/>
    <w:rsid w:val="00F360C1"/>
    <w:rsid w:val="00F363C3"/>
    <w:rsid w:val="00F363F3"/>
    <w:rsid w:val="00F36769"/>
    <w:rsid w:val="00F3677E"/>
    <w:rsid w:val="00F36CB5"/>
    <w:rsid w:val="00F36EA7"/>
    <w:rsid w:val="00F37209"/>
    <w:rsid w:val="00F373B3"/>
    <w:rsid w:val="00F37DCA"/>
    <w:rsid w:val="00F37F3C"/>
    <w:rsid w:val="00F40341"/>
    <w:rsid w:val="00F406E3"/>
    <w:rsid w:val="00F40F33"/>
    <w:rsid w:val="00F41FAC"/>
    <w:rsid w:val="00F42F73"/>
    <w:rsid w:val="00F4325A"/>
    <w:rsid w:val="00F432EC"/>
    <w:rsid w:val="00F438EB"/>
    <w:rsid w:val="00F43CCB"/>
    <w:rsid w:val="00F4414D"/>
    <w:rsid w:val="00F442BF"/>
    <w:rsid w:val="00F44881"/>
    <w:rsid w:val="00F44CA8"/>
    <w:rsid w:val="00F44D57"/>
    <w:rsid w:val="00F45066"/>
    <w:rsid w:val="00F45205"/>
    <w:rsid w:val="00F45F39"/>
    <w:rsid w:val="00F4682F"/>
    <w:rsid w:val="00F46AE8"/>
    <w:rsid w:val="00F46DF4"/>
    <w:rsid w:val="00F477C8"/>
    <w:rsid w:val="00F47EA2"/>
    <w:rsid w:val="00F5020A"/>
    <w:rsid w:val="00F50AA0"/>
    <w:rsid w:val="00F51276"/>
    <w:rsid w:val="00F51CD4"/>
    <w:rsid w:val="00F51E73"/>
    <w:rsid w:val="00F51F24"/>
    <w:rsid w:val="00F522A1"/>
    <w:rsid w:val="00F53253"/>
    <w:rsid w:val="00F533A3"/>
    <w:rsid w:val="00F534BD"/>
    <w:rsid w:val="00F535A2"/>
    <w:rsid w:val="00F53B72"/>
    <w:rsid w:val="00F53BC0"/>
    <w:rsid w:val="00F55319"/>
    <w:rsid w:val="00F5606F"/>
    <w:rsid w:val="00F562ED"/>
    <w:rsid w:val="00F5687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E8"/>
    <w:rsid w:val="00F65A6C"/>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1FE1"/>
    <w:rsid w:val="00F72CB7"/>
    <w:rsid w:val="00F72ED2"/>
    <w:rsid w:val="00F733ED"/>
    <w:rsid w:val="00F735FD"/>
    <w:rsid w:val="00F73956"/>
    <w:rsid w:val="00F73BD3"/>
    <w:rsid w:val="00F7579F"/>
    <w:rsid w:val="00F75910"/>
    <w:rsid w:val="00F768F2"/>
    <w:rsid w:val="00F76F71"/>
    <w:rsid w:val="00F77234"/>
    <w:rsid w:val="00F774C2"/>
    <w:rsid w:val="00F779A0"/>
    <w:rsid w:val="00F77F7B"/>
    <w:rsid w:val="00F80C93"/>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E2B"/>
    <w:rsid w:val="00F941A1"/>
    <w:rsid w:val="00F944D5"/>
    <w:rsid w:val="00F94662"/>
    <w:rsid w:val="00F94CD3"/>
    <w:rsid w:val="00F95271"/>
    <w:rsid w:val="00F952A8"/>
    <w:rsid w:val="00F95382"/>
    <w:rsid w:val="00F95CA4"/>
    <w:rsid w:val="00F963C9"/>
    <w:rsid w:val="00F9653D"/>
    <w:rsid w:val="00F970BF"/>
    <w:rsid w:val="00F974FB"/>
    <w:rsid w:val="00F97837"/>
    <w:rsid w:val="00F97C08"/>
    <w:rsid w:val="00F97D87"/>
    <w:rsid w:val="00F97FB9"/>
    <w:rsid w:val="00F97FBD"/>
    <w:rsid w:val="00FA0265"/>
    <w:rsid w:val="00FA081A"/>
    <w:rsid w:val="00FA0AEF"/>
    <w:rsid w:val="00FA0DE4"/>
    <w:rsid w:val="00FA12F8"/>
    <w:rsid w:val="00FA1BAC"/>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211"/>
    <w:rsid w:val="00FB05A4"/>
    <w:rsid w:val="00FB062D"/>
    <w:rsid w:val="00FB066E"/>
    <w:rsid w:val="00FB0E0B"/>
    <w:rsid w:val="00FB108E"/>
    <w:rsid w:val="00FB19B2"/>
    <w:rsid w:val="00FB221D"/>
    <w:rsid w:val="00FB2358"/>
    <w:rsid w:val="00FB2ACC"/>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3E7F"/>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B87"/>
    <w:rsid w:val="00FD0697"/>
    <w:rsid w:val="00FD0EDA"/>
    <w:rsid w:val="00FD2727"/>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363E"/>
    <w:rsid w:val="00FE3968"/>
    <w:rsid w:val="00FE3F17"/>
    <w:rsid w:val="00FE3F5C"/>
    <w:rsid w:val="00FE4A80"/>
    <w:rsid w:val="00FE5173"/>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0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914"/>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2CAB7771-ADBC-48F8-858E-666A2C66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182468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1969048571">
          <w:marLeft w:val="360"/>
          <w:marRight w:val="0"/>
          <w:marTop w:val="200"/>
          <w:marBottom w:val="0"/>
          <w:divBdr>
            <w:top w:val="none" w:sz="0" w:space="0" w:color="auto"/>
            <w:left w:val="none" w:sz="0" w:space="0" w:color="auto"/>
            <w:bottom w:val="none" w:sz="0" w:space="0" w:color="auto"/>
            <w:right w:val="none" w:sz="0" w:space="0" w:color="auto"/>
          </w:divBdr>
        </w:div>
        <w:div w:id="22419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sChild>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37"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BCA42-37F0-4A9C-9C33-338E55850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3</Pages>
  <Words>834</Words>
  <Characters>4756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5579</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Laurent Noel</dc:creator>
  <cp:lastModifiedBy>Laurent Noel</cp:lastModifiedBy>
  <cp:revision>2</cp:revision>
  <cp:lastPrinted>2010-01-07T15:23:00Z</cp:lastPrinted>
  <dcterms:created xsi:type="dcterms:W3CDTF">2020-02-14T23:32:00Z</dcterms:created>
  <dcterms:modified xsi:type="dcterms:W3CDTF">2020-02-14T23:32:00Z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